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C7" w:rsidRDefault="00F8137D" w:rsidP="00F8137D">
      <w:pPr>
        <w:pStyle w:val="Nadpis1"/>
      </w:pPr>
      <w:r>
        <w:t>Zápis z řídícího výboru MAP ORP Černošice, Zvole 20. 11. 2023</w:t>
      </w:r>
    </w:p>
    <w:p w:rsidR="00F8137D" w:rsidRDefault="00F8137D">
      <w:pPr>
        <w:rPr>
          <w:sz w:val="24"/>
          <w:szCs w:val="24"/>
        </w:rPr>
      </w:pPr>
      <w:r>
        <w:rPr>
          <w:sz w:val="24"/>
          <w:szCs w:val="24"/>
        </w:rPr>
        <w:t>Přítomni: viz prezenční listina</w:t>
      </w:r>
    </w:p>
    <w:p w:rsidR="00F8137D" w:rsidRDefault="00F8137D" w:rsidP="00F8137D">
      <w:pPr>
        <w:pStyle w:val="Odstavecseseznamem"/>
        <w:numPr>
          <w:ilvl w:val="0"/>
          <w:numId w:val="11"/>
        </w:numPr>
        <w:spacing w:before="100" w:beforeAutospacing="1" w:after="100" w:afterAutospacing="1"/>
      </w:pPr>
      <w:r w:rsidRPr="00F8137D">
        <w:rPr>
          <w:b/>
        </w:rPr>
        <w:t>Přivítání, návrh programu, odsouhlasení programu</w:t>
      </w:r>
      <w:r>
        <w:t>. Kontrola prezenční listiny. Návrhy na zapisovatele a ověřovatele.</w:t>
      </w:r>
    </w:p>
    <w:p w:rsidR="00F8137D" w:rsidRPr="001D27A9" w:rsidRDefault="00F8137D" w:rsidP="00F8137D">
      <w:pPr>
        <w:spacing w:after="0"/>
      </w:pPr>
      <w:r w:rsidRPr="00772658">
        <w:t xml:space="preserve">Zapisovatel: </w:t>
      </w:r>
      <w:r>
        <w:t>Renata Hlavešová</w:t>
      </w:r>
    </w:p>
    <w:p w:rsidR="00F8137D" w:rsidRPr="00772658" w:rsidRDefault="00F8137D" w:rsidP="00F8137D">
      <w:pPr>
        <w:spacing w:after="0"/>
      </w:pPr>
      <w:r w:rsidRPr="00772658">
        <w:t xml:space="preserve">Ověřovatel: </w:t>
      </w:r>
      <w:r>
        <w:t>Monika Neužilová</w:t>
      </w:r>
    </w:p>
    <w:p w:rsidR="00F8137D" w:rsidRPr="00772658" w:rsidRDefault="00F8137D" w:rsidP="00F8137D">
      <w:pPr>
        <w:spacing w:after="0"/>
      </w:pPr>
      <w:r w:rsidRPr="00772658">
        <w:t>Počet členů ŘV: 2</w:t>
      </w:r>
      <w:r>
        <w:t>4, počet přítomných členů ŘV  18 (včetně 8 plných mocí)</w:t>
      </w:r>
      <w:r w:rsidRPr="00772658">
        <w:t>.</w:t>
      </w:r>
    </w:p>
    <w:p w:rsidR="00F8137D" w:rsidRPr="009011CF" w:rsidRDefault="00F8137D" w:rsidP="00F8137D">
      <w:pPr>
        <w:spacing w:before="100" w:beforeAutospacing="1" w:after="100" w:afterAutospacing="1"/>
        <w:rPr>
          <w:b/>
        </w:rPr>
      </w:pPr>
      <w:r w:rsidRPr="009011CF">
        <w:rPr>
          <w:b/>
        </w:rPr>
        <w:t>Řídící výbor JE usnášeníschopný.</w:t>
      </w:r>
    </w:p>
    <w:p w:rsidR="00F8137D" w:rsidRPr="00772658" w:rsidRDefault="00F8137D" w:rsidP="00F8137D">
      <w:r w:rsidRPr="00772658">
        <w:t xml:space="preserve">Návrh usnesení: </w:t>
      </w:r>
    </w:p>
    <w:p w:rsidR="00F8137D" w:rsidRPr="00772658" w:rsidRDefault="00F8137D" w:rsidP="00F8137D">
      <w:r w:rsidRPr="00772658">
        <w:rPr>
          <w:b/>
        </w:rPr>
        <w:t>Řídící výbor souhlasí</w:t>
      </w:r>
      <w:r>
        <w:t xml:space="preserve"> s programem 1. jednání ŘV MAP III </w:t>
      </w:r>
      <w:r w:rsidRPr="00772658">
        <w:t>ORP Černošice.</w:t>
      </w:r>
    </w:p>
    <w:p w:rsidR="00F8137D" w:rsidRPr="00772658" w:rsidRDefault="00F8137D" w:rsidP="00F8137D">
      <w:r w:rsidRPr="00772658">
        <w:t>Hlasování: Pro: 1</w:t>
      </w:r>
      <w:r>
        <w:t>8</w:t>
      </w:r>
      <w:r w:rsidRPr="00772658">
        <w:t xml:space="preserve">  Proti: 0   Zdržel se: </w:t>
      </w:r>
      <w:r>
        <w:t>0</w:t>
      </w:r>
    </w:p>
    <w:p w:rsidR="00F8137D" w:rsidRDefault="00F8137D" w:rsidP="00F8137D">
      <w:pPr>
        <w:rPr>
          <w:sz w:val="24"/>
          <w:szCs w:val="24"/>
        </w:rPr>
      </w:pPr>
      <w:r w:rsidRPr="00772658">
        <w:rPr>
          <w:b/>
        </w:rPr>
        <w:t xml:space="preserve">Usnesení č. </w:t>
      </w:r>
      <w:r>
        <w:rPr>
          <w:b/>
        </w:rPr>
        <w:t>1</w:t>
      </w:r>
      <w:r w:rsidRPr="00772658">
        <w:rPr>
          <w:b/>
        </w:rPr>
        <w:t>-</w:t>
      </w:r>
      <w:r w:rsidR="009B7181">
        <w:rPr>
          <w:b/>
        </w:rPr>
        <w:t>2</w:t>
      </w:r>
      <w:r>
        <w:rPr>
          <w:b/>
        </w:rPr>
        <w:t>/2023</w:t>
      </w:r>
      <w:r w:rsidRPr="00772658">
        <w:rPr>
          <w:b/>
        </w:rPr>
        <w:t>:</w:t>
      </w:r>
      <w:r w:rsidRPr="00772658">
        <w:t xml:space="preserve"> </w:t>
      </w:r>
      <w:r w:rsidRPr="00772658">
        <w:rPr>
          <w:b/>
        </w:rPr>
        <w:t>Program jednání byl přijat.</w:t>
      </w:r>
    </w:p>
    <w:p w:rsidR="00F8137D" w:rsidRPr="002D5DCC" w:rsidRDefault="00F240CF" w:rsidP="00F240CF">
      <w:pPr>
        <w:pStyle w:val="Odstavecseseznamem"/>
        <w:numPr>
          <w:ilvl w:val="0"/>
          <w:numId w:val="11"/>
        </w:numPr>
        <w:rPr>
          <w:b/>
        </w:rPr>
      </w:pPr>
      <w:r w:rsidRPr="002D5DCC">
        <w:rPr>
          <w:b/>
        </w:rPr>
        <w:t>Aktualizace analytické části MAP</w:t>
      </w:r>
    </w:p>
    <w:p w:rsidR="00F240CF" w:rsidRPr="002D5DCC" w:rsidRDefault="00F240CF" w:rsidP="00F240CF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V roce 2023 byla aktualizována dílčí část analytické části MAP (doplnění údajů o aktuálním počtu dětí a žáků ve školách</w:t>
      </w:r>
      <w:r w:rsidR="00957357"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, zohledněny výstupy ze závěrečné evaluační zprávy MAP II</w:t>
      </w:r>
      <w:r w:rsidR="00D3338F"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stav ČG. MG, </w:t>
      </w:r>
      <w:proofErr w:type="spellStart"/>
      <w:r w:rsidR="00D3338F"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digiG</w:t>
      </w:r>
      <w:proofErr w:type="spellEnd"/>
      <w:r w:rsidR="00D3338F"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, inkluze v</w:t>
      </w:r>
      <w:r w:rsidR="00315FFD"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D3338F"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ORP</w:t>
      </w:r>
      <w:r w:rsidR="00315FFD"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; dílčí aktualizace SWOT analýz</w:t>
      </w:r>
      <w:r w:rsidR="00D3338F"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:rsidR="00957357" w:rsidRPr="002D5DCC" w:rsidRDefault="00957357" w:rsidP="00957357">
      <w:pPr>
        <w:pStyle w:val="Odstavecseseznamem"/>
        <w:numPr>
          <w:ilvl w:val="0"/>
          <w:numId w:val="1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Seznámení ŘV s postupem aktualizace  - aktualizace diskutována  v rámci setkání ředitelů škol, na setkání jednotlivých PS, dílčí nové části zveřejněny na webu projektu pro připomínky od veřejnosti)</w:t>
      </w:r>
    </w:p>
    <w:p w:rsidR="009B7181" w:rsidRPr="002D5DCC" w:rsidRDefault="00A34DB1" w:rsidP="00A34DB1">
      <w:pPr>
        <w:ind w:left="720"/>
      </w:pPr>
      <w:r w:rsidRPr="002D5DCC">
        <w:t xml:space="preserve">Kompletní </w:t>
      </w:r>
      <w:r w:rsidR="002D5DCC">
        <w:t>Analy</w:t>
      </w:r>
      <w:r w:rsidRPr="002D5DCC">
        <w:t xml:space="preserve">tická část v příloze – MAP ORP Černošice </w:t>
      </w:r>
      <w:proofErr w:type="spellStart"/>
      <w:r w:rsidRPr="002D5DCC">
        <w:t>final</w:t>
      </w:r>
      <w:proofErr w:type="spellEnd"/>
    </w:p>
    <w:p w:rsidR="009B7181" w:rsidRPr="00772658" w:rsidRDefault="009B7181" w:rsidP="001D3255">
      <w:pPr>
        <w:spacing w:after="0"/>
      </w:pPr>
      <w:r w:rsidRPr="00772658">
        <w:t xml:space="preserve">Návrh usnesení: </w:t>
      </w:r>
    </w:p>
    <w:p w:rsidR="009B7181" w:rsidRPr="00772658" w:rsidRDefault="009B7181" w:rsidP="009B7181">
      <w:r w:rsidRPr="00772658">
        <w:rPr>
          <w:b/>
        </w:rPr>
        <w:t xml:space="preserve">Řídící výbor </w:t>
      </w:r>
      <w:r>
        <w:rPr>
          <w:b/>
        </w:rPr>
        <w:t>schvaluje aktualizovanou analytickou část MAP</w:t>
      </w:r>
      <w:r>
        <w:t xml:space="preserve"> ORP Černošice.</w:t>
      </w:r>
    </w:p>
    <w:p w:rsidR="009B7181" w:rsidRPr="00772658" w:rsidRDefault="009B7181" w:rsidP="009B7181">
      <w:r w:rsidRPr="00772658">
        <w:t>Hlasování: Pro: 1</w:t>
      </w:r>
      <w:r>
        <w:t>8</w:t>
      </w:r>
      <w:r w:rsidRPr="00772658">
        <w:t xml:space="preserve">  Proti: 0   Zdržel se: </w:t>
      </w:r>
      <w:r>
        <w:t>0</w:t>
      </w:r>
    </w:p>
    <w:p w:rsidR="009B7181" w:rsidRDefault="009B7181" w:rsidP="009B7181">
      <w:pPr>
        <w:rPr>
          <w:sz w:val="24"/>
          <w:szCs w:val="24"/>
        </w:rPr>
      </w:pPr>
      <w:r w:rsidRPr="00772658">
        <w:rPr>
          <w:b/>
        </w:rPr>
        <w:t xml:space="preserve">Usnesení č. </w:t>
      </w:r>
      <w:r>
        <w:rPr>
          <w:b/>
        </w:rPr>
        <w:t>2</w:t>
      </w:r>
      <w:r w:rsidRPr="00772658">
        <w:rPr>
          <w:b/>
        </w:rPr>
        <w:t>-</w:t>
      </w:r>
      <w:r>
        <w:rPr>
          <w:b/>
        </w:rPr>
        <w:t>2/2023</w:t>
      </w:r>
      <w:r w:rsidRPr="00772658">
        <w:rPr>
          <w:b/>
        </w:rPr>
        <w:t>:</w:t>
      </w:r>
      <w:r w:rsidRPr="00772658">
        <w:t xml:space="preserve"> </w:t>
      </w:r>
      <w:r>
        <w:rPr>
          <w:b/>
        </w:rPr>
        <w:t>Analytická část MAP byla schválena.</w:t>
      </w:r>
    </w:p>
    <w:p w:rsidR="009B7181" w:rsidRDefault="009B7181" w:rsidP="009B7181">
      <w:pPr>
        <w:pStyle w:val="Odstavecseseznamem"/>
        <w:ind w:left="1080"/>
        <w:rPr>
          <w:sz w:val="24"/>
          <w:szCs w:val="24"/>
        </w:rPr>
      </w:pPr>
    </w:p>
    <w:p w:rsidR="00F240CF" w:rsidRPr="002D5DCC" w:rsidRDefault="00F240CF" w:rsidP="00F240CF">
      <w:pPr>
        <w:pStyle w:val="Odstavecseseznamem"/>
        <w:numPr>
          <w:ilvl w:val="0"/>
          <w:numId w:val="11"/>
        </w:numPr>
        <w:rPr>
          <w:b/>
        </w:rPr>
      </w:pPr>
      <w:r w:rsidRPr="002D5DCC">
        <w:rPr>
          <w:b/>
        </w:rPr>
        <w:lastRenderedPageBreak/>
        <w:t>Strategické cíle MAP do roku 2025, Investice</w:t>
      </w:r>
    </w:p>
    <w:p w:rsidR="007D4F6E" w:rsidRDefault="007D4F6E" w:rsidP="009B7181">
      <w:pPr>
        <w:pStyle w:val="Odstavecseseznamem"/>
        <w:rPr>
          <w:sz w:val="24"/>
          <w:szCs w:val="24"/>
        </w:rPr>
      </w:pPr>
    </w:p>
    <w:p w:rsidR="009B7181" w:rsidRPr="002D5DCC" w:rsidRDefault="007D4F6E" w:rsidP="009B7181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Strategická část MAP zahrnuje vizi, priority a strategické cíle. </w:t>
      </w:r>
      <w:r w:rsidR="009B7181"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Schválená vize a </w:t>
      </w:r>
      <w:proofErr w:type="gramStart"/>
      <w:r w:rsidR="009B7181"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priority v předchozím </w:t>
      </w:r>
      <w:proofErr w:type="spellStart"/>
      <w:r w:rsidR="009B7181"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MAPu</w:t>
      </w:r>
      <w:proofErr w:type="spellEnd"/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(9/2022</w:t>
      </w:r>
      <w:proofErr w:type="gramEnd"/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="009B7181"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zůstávají i nadále stále platné a aktuální, projednáno na jednotlivých PS a na setkáních s řediteli škol.</w:t>
      </w:r>
    </w:p>
    <w:p w:rsidR="00B75B15" w:rsidRDefault="00B75B15" w:rsidP="009B7181">
      <w:pPr>
        <w:pStyle w:val="Odstavecseseznamem"/>
        <w:rPr>
          <w:sz w:val="24"/>
          <w:szCs w:val="24"/>
        </w:rPr>
      </w:pPr>
    </w:p>
    <w:p w:rsidR="00B75B15" w:rsidRPr="002D5DCC" w:rsidRDefault="00B75B15" w:rsidP="009B7181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Rekapitulace podstatného:</w:t>
      </w:r>
    </w:p>
    <w:p w:rsidR="00B75B15" w:rsidRPr="00B75B15" w:rsidRDefault="00B75B15" w:rsidP="00B75B1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Vize:“ </w:t>
      </w:r>
      <w:r w:rsidRPr="00B75B15">
        <w:rPr>
          <w:b/>
          <w:bCs/>
          <w:sz w:val="24"/>
          <w:szCs w:val="24"/>
        </w:rPr>
        <w:t>Na území ORP Černošice je zajištěn rovný přístup ke vzdělání každého dítěte a žáka. Dětem a žákům je garantováno právo vzdělávat se alespoň v základním standardu, dostupné vzdálenosti a ideálně též v komunitě obce, na kterou budou navázány další, i mimoškolní aktivity. Jen takové prostředí napomůže dalšímu růstu a vývoji občansky zdravé, vzdělané, konkurenceschopné a prorodinné generace našich nástupců. </w:t>
      </w:r>
    </w:p>
    <w:p w:rsidR="00B75B15" w:rsidRPr="00B75B15" w:rsidRDefault="00B75B15" w:rsidP="00B75B15">
      <w:pPr>
        <w:pStyle w:val="Odstavecseseznamem"/>
        <w:rPr>
          <w:sz w:val="24"/>
          <w:szCs w:val="24"/>
        </w:rPr>
      </w:pPr>
      <w:r w:rsidRPr="00B75B15">
        <w:rPr>
          <w:b/>
          <w:bCs/>
          <w:sz w:val="24"/>
          <w:szCs w:val="24"/>
        </w:rPr>
        <w:t>Proto všechny subjekty působící v oblasti základního a předškolního vzdělávání v obcích ORP Černošice samy i ve spolupráci s ostatními subjekty zajistí dostatek míst v moderně vybavených a k dětem, žákům, učitelům i veřejnosti přátelských školách a školských zařízeních, poskytujících kvalitní vzdělávání.“</w:t>
      </w:r>
    </w:p>
    <w:p w:rsidR="00B75B15" w:rsidRDefault="00B75B15" w:rsidP="009B7181">
      <w:pPr>
        <w:pStyle w:val="Odstavecseseznamem"/>
        <w:rPr>
          <w:sz w:val="24"/>
          <w:szCs w:val="24"/>
        </w:rPr>
      </w:pPr>
    </w:p>
    <w:p w:rsidR="00B75B15" w:rsidRPr="002D5DCC" w:rsidRDefault="00B75B15" w:rsidP="009B7181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Priority a Cíle:</w:t>
      </w:r>
    </w:p>
    <w:p w:rsidR="00B75B15" w:rsidRDefault="00B75B15" w:rsidP="009B7181">
      <w:pPr>
        <w:pStyle w:val="Odstavecseseznamem"/>
        <w:rPr>
          <w:sz w:val="24"/>
          <w:szCs w:val="24"/>
        </w:rPr>
      </w:pPr>
    </w:p>
    <w:p w:rsidR="009B7181" w:rsidRDefault="00B75B15" w:rsidP="009B7181">
      <w:pPr>
        <w:pStyle w:val="Odstavecseseznamem"/>
        <w:rPr>
          <w:sz w:val="24"/>
          <w:szCs w:val="24"/>
        </w:rPr>
      </w:pPr>
      <w:r w:rsidRPr="00B75B15">
        <w:rPr>
          <w:noProof/>
          <w:sz w:val="24"/>
          <w:szCs w:val="24"/>
        </w:rPr>
        <w:lastRenderedPageBreak/>
        <w:drawing>
          <wp:inline distT="0" distB="0" distL="0" distR="0" wp14:anchorId="57C6FB7D" wp14:editId="3D431C68">
            <wp:extent cx="5151756" cy="4114800"/>
            <wp:effectExtent l="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297" cy="411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B15" w:rsidRDefault="00B75B15" w:rsidP="009B7181">
      <w:pPr>
        <w:pStyle w:val="Odstavecseseznamem"/>
        <w:rPr>
          <w:sz w:val="24"/>
          <w:szCs w:val="24"/>
        </w:rPr>
      </w:pPr>
    </w:p>
    <w:p w:rsidR="00B75B15" w:rsidRPr="002D5DCC" w:rsidRDefault="00B75B15" w:rsidP="009B7181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Investice – příloha Tabulka SIP112023_IROP_21-27</w:t>
      </w:r>
    </w:p>
    <w:p w:rsidR="00A34DB1" w:rsidRPr="002D5DCC" w:rsidRDefault="00A34DB1" w:rsidP="00A34DB1">
      <w:pPr>
        <w:ind w:firstLine="709"/>
      </w:pPr>
      <w:r w:rsidRPr="002D5DCC">
        <w:t xml:space="preserve">Kompletní Strategická část v příloze – MAP ORP Černošice </w:t>
      </w:r>
      <w:proofErr w:type="spellStart"/>
      <w:r w:rsidRPr="002D5DCC">
        <w:t>final</w:t>
      </w:r>
      <w:proofErr w:type="spellEnd"/>
    </w:p>
    <w:p w:rsidR="00B75B15" w:rsidRPr="00772658" w:rsidRDefault="00B75B15" w:rsidP="001D3255">
      <w:pPr>
        <w:spacing w:after="0"/>
      </w:pPr>
      <w:r w:rsidRPr="00772658">
        <w:t xml:space="preserve">Návrh usnesení: </w:t>
      </w:r>
    </w:p>
    <w:p w:rsidR="00B75B15" w:rsidRPr="00B75B15" w:rsidRDefault="00B75B15" w:rsidP="00B75B15">
      <w:pPr>
        <w:rPr>
          <w:b/>
        </w:rPr>
      </w:pPr>
      <w:r w:rsidRPr="00772658">
        <w:rPr>
          <w:b/>
        </w:rPr>
        <w:t xml:space="preserve">Řídící výbor </w:t>
      </w:r>
      <w:r>
        <w:rPr>
          <w:b/>
        </w:rPr>
        <w:t>schvaluje strategickou část MAP, zahrnující vizi, priority a cíle a investiční potřeby (</w:t>
      </w:r>
      <w:r w:rsidRPr="00B75B15">
        <w:rPr>
          <w:b/>
        </w:rPr>
        <w:t>SIP112023_IROP_21-27).</w:t>
      </w:r>
    </w:p>
    <w:p w:rsidR="00B75B15" w:rsidRPr="00772658" w:rsidRDefault="00B75B15" w:rsidP="00B75B15">
      <w:r w:rsidRPr="00772658">
        <w:t>Hlasování: Pro: 1</w:t>
      </w:r>
      <w:r>
        <w:t>8</w:t>
      </w:r>
      <w:r w:rsidRPr="00772658">
        <w:t xml:space="preserve">  Proti: 0   Zdržel se: </w:t>
      </w:r>
      <w:r>
        <w:t>0</w:t>
      </w:r>
    </w:p>
    <w:p w:rsidR="00B75B15" w:rsidRDefault="00B75B15" w:rsidP="00B75B15">
      <w:pPr>
        <w:rPr>
          <w:sz w:val="24"/>
          <w:szCs w:val="24"/>
        </w:rPr>
      </w:pPr>
      <w:r w:rsidRPr="00772658">
        <w:rPr>
          <w:b/>
        </w:rPr>
        <w:t xml:space="preserve">Usnesení č. </w:t>
      </w:r>
      <w:r>
        <w:rPr>
          <w:b/>
        </w:rPr>
        <w:t>3</w:t>
      </w:r>
      <w:r w:rsidRPr="00772658">
        <w:rPr>
          <w:b/>
        </w:rPr>
        <w:t>-</w:t>
      </w:r>
      <w:r>
        <w:rPr>
          <w:b/>
        </w:rPr>
        <w:t>2/2023</w:t>
      </w:r>
      <w:r w:rsidRPr="00772658">
        <w:rPr>
          <w:b/>
        </w:rPr>
        <w:t>:</w:t>
      </w:r>
      <w:r w:rsidRPr="00B75B15">
        <w:rPr>
          <w:b/>
        </w:rPr>
        <w:t xml:space="preserve"> </w:t>
      </w:r>
      <w:r>
        <w:rPr>
          <w:b/>
        </w:rPr>
        <w:t>Strategická část MAP ORP Černošice, zahrnující vizi, priority a cíle a investiční potřeby (</w:t>
      </w:r>
      <w:r w:rsidRPr="00B75B15">
        <w:rPr>
          <w:b/>
        </w:rPr>
        <w:t>SIP112023_IROP_21-27) byla schválena</w:t>
      </w:r>
      <w:r>
        <w:rPr>
          <w:b/>
        </w:rPr>
        <w:t>.</w:t>
      </w:r>
    </w:p>
    <w:p w:rsidR="00B75B15" w:rsidRDefault="00B75B15" w:rsidP="009B7181">
      <w:pPr>
        <w:pStyle w:val="Odstavecseseznamem"/>
        <w:rPr>
          <w:sz w:val="24"/>
          <w:szCs w:val="24"/>
        </w:rPr>
      </w:pPr>
    </w:p>
    <w:p w:rsidR="007D4F6E" w:rsidRPr="002D5DCC" w:rsidRDefault="007D4F6E" w:rsidP="007D4F6E">
      <w:pPr>
        <w:pStyle w:val="Odstavecseseznamem"/>
        <w:numPr>
          <w:ilvl w:val="0"/>
          <w:numId w:val="11"/>
        </w:numPr>
        <w:rPr>
          <w:b/>
        </w:rPr>
      </w:pPr>
      <w:r w:rsidRPr="002D5DCC">
        <w:rPr>
          <w:b/>
        </w:rPr>
        <w:lastRenderedPageBreak/>
        <w:t>Akční plán MAP na 2023, 2024, 2025</w:t>
      </w:r>
    </w:p>
    <w:p w:rsidR="00A34DB1" w:rsidRDefault="007D4F6E" w:rsidP="00A34DB1">
      <w:pPr>
        <w:spacing w:after="0"/>
        <w:ind w:firstLine="709"/>
      </w:pPr>
      <w:r>
        <w:t>Akčn</w:t>
      </w:r>
      <w:r w:rsidR="00FA2BF1">
        <w:t>í plány na jednotlivé roky zahrn</w:t>
      </w:r>
      <w:r>
        <w:t>ují aktivity naplňující strategické cíle MAP. Jsou zahrnuty jak aktivity na úrovni jednotlivých škol</w:t>
      </w:r>
      <w:r w:rsidR="00FA2BF1">
        <w:t xml:space="preserve"> (zpravidla šablony OP JAK)</w:t>
      </w:r>
      <w:r>
        <w:t xml:space="preserve">, tak aktivity spolupráce. </w:t>
      </w:r>
      <w:r w:rsidR="00FA2BF1">
        <w:t>Aktivity mají různé zdroje financování, nejen OP JAK a navazující projekt  Map IV. Zároveň jsou aktivity koncipovány s ohledem na dlouhodobou udržitelnost v území.</w:t>
      </w:r>
      <w:r w:rsidR="00A34DB1">
        <w:t xml:space="preserve"> </w:t>
      </w:r>
    </w:p>
    <w:p w:rsidR="007D4F6E" w:rsidRDefault="00A34DB1" w:rsidP="00A34DB1">
      <w:r>
        <w:t xml:space="preserve">Kompletní akční plány v příloze – MAP ORP Černošice </w:t>
      </w:r>
      <w:proofErr w:type="spellStart"/>
      <w:r>
        <w:t>final</w:t>
      </w:r>
      <w:proofErr w:type="spellEnd"/>
      <w:r>
        <w:t>.</w:t>
      </w:r>
    </w:p>
    <w:p w:rsidR="007D4F6E" w:rsidRPr="00772658" w:rsidRDefault="007D4F6E" w:rsidP="001D3255">
      <w:pPr>
        <w:spacing w:after="0"/>
      </w:pPr>
      <w:r w:rsidRPr="00772658">
        <w:t xml:space="preserve">Návrh usnesení: </w:t>
      </w:r>
    </w:p>
    <w:p w:rsidR="007D4F6E" w:rsidRPr="00B75B15" w:rsidRDefault="007D4F6E" w:rsidP="007D4F6E">
      <w:pPr>
        <w:rPr>
          <w:b/>
        </w:rPr>
      </w:pPr>
      <w:r w:rsidRPr="00772658">
        <w:rPr>
          <w:b/>
        </w:rPr>
        <w:t xml:space="preserve">Řídící výbor </w:t>
      </w:r>
      <w:r>
        <w:rPr>
          <w:b/>
        </w:rPr>
        <w:t>schvaluje akční plány MAP ORP Černošice na roky 2023, 2024, 2025.</w:t>
      </w:r>
    </w:p>
    <w:p w:rsidR="007D4F6E" w:rsidRPr="00772658" w:rsidRDefault="007D4F6E" w:rsidP="007D4F6E">
      <w:r w:rsidRPr="00772658">
        <w:t>Hlasování: Pro: 1</w:t>
      </w:r>
      <w:r>
        <w:t>8</w:t>
      </w:r>
      <w:r w:rsidRPr="00772658">
        <w:t xml:space="preserve">  Proti: 0   Zdržel se: </w:t>
      </w:r>
      <w:r>
        <w:t>0</w:t>
      </w:r>
    </w:p>
    <w:p w:rsidR="007D4F6E" w:rsidRDefault="007D4F6E" w:rsidP="007D4F6E">
      <w:pPr>
        <w:rPr>
          <w:sz w:val="24"/>
          <w:szCs w:val="24"/>
        </w:rPr>
      </w:pPr>
      <w:r w:rsidRPr="00772658">
        <w:rPr>
          <w:b/>
        </w:rPr>
        <w:t xml:space="preserve">Usnesení č. </w:t>
      </w:r>
      <w:r>
        <w:rPr>
          <w:b/>
        </w:rPr>
        <w:t>4</w:t>
      </w:r>
      <w:r w:rsidRPr="00772658">
        <w:rPr>
          <w:b/>
        </w:rPr>
        <w:t>-</w:t>
      </w:r>
      <w:r>
        <w:rPr>
          <w:b/>
        </w:rPr>
        <w:t>2/2023</w:t>
      </w:r>
      <w:r w:rsidRPr="00772658">
        <w:rPr>
          <w:b/>
        </w:rPr>
        <w:t>:</w:t>
      </w:r>
      <w:r>
        <w:rPr>
          <w:b/>
        </w:rPr>
        <w:t xml:space="preserve">Akční plány MAP ORP Černošice na roky 2023, 2024, 2025 </w:t>
      </w:r>
      <w:r w:rsidRPr="00B75B15">
        <w:rPr>
          <w:b/>
        </w:rPr>
        <w:t>byl</w:t>
      </w:r>
      <w:r>
        <w:rPr>
          <w:b/>
        </w:rPr>
        <w:t>y</w:t>
      </w:r>
      <w:r w:rsidRPr="00B75B15">
        <w:rPr>
          <w:b/>
        </w:rPr>
        <w:t xml:space="preserve"> schválen</w:t>
      </w:r>
      <w:r>
        <w:rPr>
          <w:b/>
        </w:rPr>
        <w:t>y.</w:t>
      </w:r>
    </w:p>
    <w:p w:rsidR="00F240CF" w:rsidRPr="002D5DCC" w:rsidRDefault="00F240CF" w:rsidP="00F240CF">
      <w:pPr>
        <w:pStyle w:val="Odstavecseseznamem"/>
        <w:numPr>
          <w:ilvl w:val="0"/>
          <w:numId w:val="11"/>
        </w:numPr>
        <w:rPr>
          <w:b/>
        </w:rPr>
      </w:pPr>
      <w:r w:rsidRPr="002D5DCC">
        <w:rPr>
          <w:b/>
        </w:rPr>
        <w:t>Zhodnocení akčního plánu  2022/2023</w:t>
      </w:r>
    </w:p>
    <w:p w:rsidR="00B75B15" w:rsidRPr="002D5DCC" w:rsidRDefault="007D4F6E" w:rsidP="00B75B15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Akční plán na roky 2022 a 2023 zahrnoval aktivity </w:t>
      </w:r>
      <w:r w:rsidR="00DB6623"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spolupráce </w:t>
      </w: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jako:</w:t>
      </w:r>
      <w:r w:rsidR="00DB6623"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regionální výtvarná soutěž, regionální workshopy pro žáky, vzdělávací semináře/workshopy pro pedagogy, sdílení pozice (logoped, konzultant pro inkluzi), přípravu na výjezdy v rámci Erasmus+, podpora zřizovatelů a svazkových škol, sdílení (ředitelé, pedagogové, zřizovatelé) atd.</w:t>
      </w:r>
    </w:p>
    <w:p w:rsidR="00DB6623" w:rsidRPr="002D5DCC" w:rsidRDefault="00DB6623" w:rsidP="00B75B15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Co se zcela nepodařilo: větří podpora PPP směrem k malým školám (využití šablon z </w:t>
      </w:r>
      <w:proofErr w:type="gramStart"/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OP</w:t>
      </w:r>
      <w:proofErr w:type="gramEnd"/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JAK, dopad na naše území velmi omezený, důvodem nedostatečný počet psychologů a speciálních pedagogů – PPP nebyla schopna sehnat); sdílení zkušeností mezi LMŠ; </w:t>
      </w:r>
      <w:r w:rsidR="00DC09C4"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větší síťování pedagogů</w:t>
      </w: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, zejména ČMG</w:t>
      </w:r>
    </w:p>
    <w:p w:rsidR="00DB6623" w:rsidRDefault="00DB6623" w:rsidP="00B75B15">
      <w:pPr>
        <w:pStyle w:val="Odstavecseseznamem"/>
        <w:rPr>
          <w:sz w:val="24"/>
          <w:szCs w:val="24"/>
        </w:rPr>
      </w:pPr>
    </w:p>
    <w:p w:rsidR="007D4F6E" w:rsidRPr="00772658" w:rsidRDefault="007D4F6E" w:rsidP="001D3255">
      <w:pPr>
        <w:spacing w:after="0"/>
      </w:pPr>
      <w:r w:rsidRPr="00772658">
        <w:t xml:space="preserve">Návrh usnesení: </w:t>
      </w:r>
    </w:p>
    <w:p w:rsidR="007D4F6E" w:rsidRPr="00B75B15" w:rsidRDefault="007D4F6E" w:rsidP="007D4F6E">
      <w:pPr>
        <w:rPr>
          <w:b/>
        </w:rPr>
      </w:pPr>
      <w:r w:rsidRPr="00772658">
        <w:rPr>
          <w:b/>
        </w:rPr>
        <w:t xml:space="preserve">Řídící výbor </w:t>
      </w:r>
      <w:r>
        <w:rPr>
          <w:b/>
        </w:rPr>
        <w:t xml:space="preserve">bere na vědomí stav plnění akčního  plánu na roky 2022 / 2023. </w:t>
      </w:r>
    </w:p>
    <w:p w:rsidR="007D4F6E" w:rsidRPr="00772658" w:rsidRDefault="007D4F6E" w:rsidP="007D4F6E">
      <w:r w:rsidRPr="00772658">
        <w:t>Hlasování: Pro: 1</w:t>
      </w:r>
      <w:r>
        <w:t>8</w:t>
      </w:r>
      <w:r w:rsidRPr="00772658">
        <w:t xml:space="preserve">  Proti: 0   Zdržel se: </w:t>
      </w:r>
      <w:r>
        <w:t>0</w:t>
      </w:r>
    </w:p>
    <w:p w:rsidR="007D4F6E" w:rsidRDefault="007D4F6E" w:rsidP="007D4F6E">
      <w:pPr>
        <w:rPr>
          <w:sz w:val="24"/>
          <w:szCs w:val="24"/>
        </w:rPr>
      </w:pPr>
      <w:r w:rsidRPr="00772658">
        <w:rPr>
          <w:b/>
        </w:rPr>
        <w:t xml:space="preserve">Usnesení č. </w:t>
      </w:r>
      <w:r w:rsidR="001D3255">
        <w:rPr>
          <w:b/>
        </w:rPr>
        <w:t>5</w:t>
      </w:r>
      <w:r w:rsidRPr="00772658">
        <w:rPr>
          <w:b/>
        </w:rPr>
        <w:t>-</w:t>
      </w:r>
      <w:r>
        <w:rPr>
          <w:b/>
        </w:rPr>
        <w:t>2/2023</w:t>
      </w:r>
      <w:r w:rsidRPr="00772658">
        <w:rPr>
          <w:b/>
        </w:rPr>
        <w:t>:</w:t>
      </w:r>
      <w:r w:rsidRPr="00B75B15">
        <w:rPr>
          <w:b/>
        </w:rPr>
        <w:t xml:space="preserve"> </w:t>
      </w:r>
      <w:r w:rsidRPr="00772658">
        <w:rPr>
          <w:b/>
        </w:rPr>
        <w:t xml:space="preserve">Řídící výbor </w:t>
      </w:r>
      <w:r>
        <w:rPr>
          <w:b/>
        </w:rPr>
        <w:t xml:space="preserve">vzal na vědomí stav plnění akčního  plánu na roky 2022 / 2023. </w:t>
      </w:r>
    </w:p>
    <w:p w:rsidR="00F240CF" w:rsidRPr="002D5DCC" w:rsidRDefault="00F240CF" w:rsidP="00F240CF">
      <w:pPr>
        <w:pStyle w:val="Odstavecseseznamem"/>
        <w:numPr>
          <w:ilvl w:val="0"/>
          <w:numId w:val="11"/>
        </w:numPr>
        <w:rPr>
          <w:b/>
        </w:rPr>
      </w:pPr>
      <w:r w:rsidRPr="002D5DCC">
        <w:rPr>
          <w:b/>
        </w:rPr>
        <w:t>Zhodnocení akčního plánování 2016 – 2023</w:t>
      </w:r>
    </w:p>
    <w:p w:rsidR="00F87A5A" w:rsidRPr="002D5DCC" w:rsidRDefault="00F87A5A" w:rsidP="00F87A5A">
      <w:pPr>
        <w:pStyle w:val="Odstavecseseznamem"/>
        <w:numPr>
          <w:ilvl w:val="0"/>
          <w:numId w:val="1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Nezávislé zpracování (Ing. Pavlína Zrůbková)</w:t>
      </w:r>
    </w:p>
    <w:p w:rsidR="00F87A5A" w:rsidRPr="002D5DCC" w:rsidRDefault="00F87A5A" w:rsidP="00F87A5A">
      <w:pPr>
        <w:pStyle w:val="Odstavecseseznamem"/>
        <w:numPr>
          <w:ilvl w:val="0"/>
          <w:numId w:val="1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Daná metodika v Postupech MAP III</w:t>
      </w:r>
    </w:p>
    <w:p w:rsidR="00F87A5A" w:rsidRPr="002D5DCC" w:rsidRDefault="00F87A5A" w:rsidP="00F87A5A">
      <w:pPr>
        <w:pStyle w:val="Odstavecseseznamem"/>
        <w:numPr>
          <w:ilvl w:val="0"/>
          <w:numId w:val="1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Shrnutí podstatného:</w:t>
      </w:r>
    </w:p>
    <w:p w:rsidR="00F87A5A" w:rsidRPr="002D5DCC" w:rsidRDefault="00F87A5A" w:rsidP="00F87A5A">
      <w:pPr>
        <w:pStyle w:val="Odstavecseseznamem"/>
        <w:numPr>
          <w:ilvl w:val="1"/>
          <w:numId w:val="1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Z hlediska účelnosti se dařilo naplňovat cíle MAP</w:t>
      </w:r>
    </w:p>
    <w:p w:rsidR="00F87A5A" w:rsidRPr="002D5DCC" w:rsidRDefault="00F87A5A" w:rsidP="00F87A5A">
      <w:pPr>
        <w:pStyle w:val="Odstavecseseznamem"/>
        <w:numPr>
          <w:ilvl w:val="1"/>
          <w:numId w:val="1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Z hlediska dopadů </w:t>
      </w: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" w:char="F0E0"/>
      </w: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změna kvality vzdělávacího procesu, vytvoření komunikačních struktur mezi školami navzájem, školami a zřizovateli a zřizovateli navzájem; prostor pro sdílení a výměnu zkušeností</w:t>
      </w:r>
    </w:p>
    <w:p w:rsidR="00F87A5A" w:rsidRPr="002D5DCC" w:rsidRDefault="00F87A5A" w:rsidP="00F87A5A">
      <w:pPr>
        <w:pStyle w:val="Odstavecseseznamem"/>
        <w:numPr>
          <w:ilvl w:val="1"/>
          <w:numId w:val="1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 hlediska udržitelnosti </w:t>
      </w: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" w:char="F0E0"/>
      </w: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vytvoření fungující sítě partnerství, kontaktů, vazeb a aktivit, které mohou přetrvat i bez dalšího finančního rámce projektu</w:t>
      </w:r>
    </w:p>
    <w:p w:rsidR="00A34DB1" w:rsidRPr="002D5DCC" w:rsidRDefault="00A34DB1" w:rsidP="00A34DB1">
      <w:pPr>
        <w:pStyle w:val="Odstavecseseznamem"/>
        <w:numPr>
          <w:ilvl w:val="0"/>
          <w:numId w:val="1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Celá zpráva v příloze – Závěrečná evaluační zpráva.</w:t>
      </w:r>
    </w:p>
    <w:p w:rsidR="00DC09C4" w:rsidRPr="00772658" w:rsidRDefault="00DC09C4" w:rsidP="001D3255">
      <w:pPr>
        <w:spacing w:after="0"/>
      </w:pPr>
      <w:r w:rsidRPr="00772658">
        <w:t xml:space="preserve">Návrh usnesení: </w:t>
      </w:r>
    </w:p>
    <w:p w:rsidR="00DC09C4" w:rsidRPr="00B75B15" w:rsidRDefault="00DC09C4" w:rsidP="00DC09C4">
      <w:pPr>
        <w:rPr>
          <w:b/>
        </w:rPr>
      </w:pPr>
      <w:r w:rsidRPr="00772658">
        <w:rPr>
          <w:b/>
        </w:rPr>
        <w:t xml:space="preserve">Řídící výbor </w:t>
      </w:r>
      <w:r>
        <w:rPr>
          <w:b/>
        </w:rPr>
        <w:t xml:space="preserve">schvaluje závěrečnou evaluační zprávu MAP ORP Černošice. </w:t>
      </w:r>
    </w:p>
    <w:p w:rsidR="00DC09C4" w:rsidRPr="00772658" w:rsidRDefault="00DC09C4" w:rsidP="00DC09C4">
      <w:r w:rsidRPr="00772658">
        <w:t>Hlasování: Pro: 1</w:t>
      </w:r>
      <w:r>
        <w:t>8</w:t>
      </w:r>
      <w:r w:rsidRPr="00772658">
        <w:t xml:space="preserve">  Proti: 0   Zdržel se: </w:t>
      </w:r>
      <w:r>
        <w:t>0</w:t>
      </w:r>
    </w:p>
    <w:p w:rsidR="00DC09C4" w:rsidRDefault="00DC09C4" w:rsidP="00DC09C4">
      <w:pPr>
        <w:rPr>
          <w:sz w:val="24"/>
          <w:szCs w:val="24"/>
        </w:rPr>
      </w:pPr>
      <w:r w:rsidRPr="00772658">
        <w:rPr>
          <w:b/>
        </w:rPr>
        <w:t xml:space="preserve">Usnesení č. </w:t>
      </w:r>
      <w:r w:rsidR="001D3255">
        <w:rPr>
          <w:b/>
        </w:rPr>
        <w:t>6</w:t>
      </w:r>
      <w:r w:rsidRPr="00772658">
        <w:rPr>
          <w:b/>
        </w:rPr>
        <w:t>-</w:t>
      </w:r>
      <w:r>
        <w:rPr>
          <w:b/>
        </w:rPr>
        <w:t>2/2023</w:t>
      </w:r>
      <w:r w:rsidRPr="00772658">
        <w:rPr>
          <w:b/>
        </w:rPr>
        <w:t>:</w:t>
      </w:r>
      <w:r w:rsidRPr="00B75B15">
        <w:rPr>
          <w:b/>
        </w:rPr>
        <w:t xml:space="preserve"> </w:t>
      </w:r>
      <w:r>
        <w:rPr>
          <w:b/>
        </w:rPr>
        <w:t xml:space="preserve">Závěrečná evaluační zpráva MAP ORP Černošice byla schválena. </w:t>
      </w:r>
    </w:p>
    <w:p w:rsidR="00F240CF" w:rsidRPr="002D5DCC" w:rsidRDefault="00F240CF" w:rsidP="00F240CF">
      <w:pPr>
        <w:pStyle w:val="Odstavecseseznamem"/>
        <w:numPr>
          <w:ilvl w:val="0"/>
          <w:numId w:val="11"/>
        </w:numPr>
        <w:rPr>
          <w:b/>
        </w:rPr>
      </w:pPr>
      <w:r w:rsidRPr="002D5DCC">
        <w:rPr>
          <w:b/>
        </w:rPr>
        <w:t>MAP IV</w:t>
      </w:r>
    </w:p>
    <w:p w:rsidR="00A34DB1" w:rsidRPr="002D5DCC" w:rsidRDefault="00A34DB1" w:rsidP="001D3255">
      <w:pPr>
        <w:spacing w:after="0"/>
        <w:ind w:left="360"/>
      </w:pPr>
      <w:r w:rsidRPr="002D5DCC">
        <w:t xml:space="preserve">MAP IV  - bude zahrnovat jak akční plánování tak implementační část (oproti </w:t>
      </w:r>
      <w:proofErr w:type="gramStart"/>
      <w:r w:rsidRPr="002D5DCC">
        <w:t>MAP</w:t>
      </w:r>
      <w:proofErr w:type="gramEnd"/>
      <w:r w:rsidRPr="002D5DCC">
        <w:t xml:space="preserve"> III). Do implementace zahrnuty aktivity z akčního plánu</w:t>
      </w:r>
    </w:p>
    <w:p w:rsidR="00A34DB1" w:rsidRPr="002D5DCC" w:rsidRDefault="00A34DB1" w:rsidP="001D3255">
      <w:pPr>
        <w:spacing w:after="0"/>
        <w:ind w:left="360"/>
      </w:pPr>
      <w:r w:rsidRPr="002D5DCC">
        <w:t>Realizace od 1.</w:t>
      </w:r>
      <w:r w:rsidR="00863EF1" w:rsidRPr="002D5DCC">
        <w:t xml:space="preserve"> </w:t>
      </w:r>
      <w:r w:rsidRPr="002D5DCC">
        <w:t>1.</w:t>
      </w:r>
      <w:r w:rsidR="00863EF1" w:rsidRPr="002D5DCC">
        <w:t xml:space="preserve"> 2</w:t>
      </w:r>
      <w:r w:rsidRPr="002D5DCC">
        <w:t>024 do 31.</w:t>
      </w:r>
      <w:r w:rsidR="00863EF1" w:rsidRPr="002D5DCC">
        <w:t xml:space="preserve"> </w:t>
      </w:r>
      <w:r w:rsidRPr="002D5DCC">
        <w:t>12.</w:t>
      </w:r>
      <w:r w:rsidR="00863EF1" w:rsidRPr="002D5DCC">
        <w:t xml:space="preserve"> </w:t>
      </w:r>
      <w:r w:rsidRPr="002D5DCC">
        <w:t>2025, 24 měsíců</w:t>
      </w:r>
    </w:p>
    <w:p w:rsidR="00A34DB1" w:rsidRPr="002D5DCC" w:rsidRDefault="00A34DB1" w:rsidP="001D3255">
      <w:pPr>
        <w:spacing w:after="0"/>
        <w:ind w:left="360"/>
      </w:pPr>
      <w:r w:rsidRPr="002D5DCC">
        <w:t>Žadatel MAS Jihozápad, partner MAS Dolnobřežansko</w:t>
      </w:r>
    </w:p>
    <w:p w:rsidR="00A34DB1" w:rsidRPr="002D5DCC" w:rsidRDefault="00A34DB1" w:rsidP="001D3255">
      <w:pPr>
        <w:spacing w:after="0"/>
        <w:ind w:left="360"/>
      </w:pPr>
      <w:r w:rsidRPr="002D5DCC">
        <w:t>Rozpočet cca 15 mil Kč, 130 zapojen</w:t>
      </w:r>
      <w:r w:rsidR="00863EF1" w:rsidRPr="002D5DCC">
        <w:t>ých</w:t>
      </w:r>
      <w:r w:rsidRPr="002D5DCC">
        <w:t xml:space="preserve"> škol (MŠ, ZŠ, ZUŠ) ze 154 celkem (</w:t>
      </w:r>
      <w:proofErr w:type="gramStart"/>
      <w:r w:rsidRPr="002D5DCC">
        <w:t>počítá</w:t>
      </w:r>
      <w:proofErr w:type="gramEnd"/>
      <w:r w:rsidRPr="002D5DCC">
        <w:t xml:space="preserve"> se </w:t>
      </w:r>
      <w:r w:rsidR="001D3255" w:rsidRPr="002D5DCC">
        <w:t xml:space="preserve">škola </w:t>
      </w:r>
      <w:r w:rsidRPr="002D5DCC">
        <w:t xml:space="preserve">na úrovni </w:t>
      </w:r>
      <w:proofErr w:type="gramStart"/>
      <w:r w:rsidRPr="002D5DCC">
        <w:t>IZO</w:t>
      </w:r>
      <w:proofErr w:type="gramEnd"/>
      <w:r w:rsidRPr="002D5DCC">
        <w:t>)</w:t>
      </w:r>
    </w:p>
    <w:p w:rsidR="001D3255" w:rsidRPr="00772658" w:rsidRDefault="001D3255" w:rsidP="001D3255">
      <w:pPr>
        <w:spacing w:after="0"/>
      </w:pPr>
      <w:r w:rsidRPr="00772658">
        <w:t xml:space="preserve">Návrh usnesení: </w:t>
      </w:r>
    </w:p>
    <w:p w:rsidR="001D3255" w:rsidRPr="00B75B15" w:rsidRDefault="001D3255" w:rsidP="001D3255">
      <w:pPr>
        <w:rPr>
          <w:b/>
        </w:rPr>
      </w:pPr>
      <w:r w:rsidRPr="00772658">
        <w:rPr>
          <w:b/>
        </w:rPr>
        <w:t xml:space="preserve">Řídící výbor </w:t>
      </w:r>
      <w:r>
        <w:rPr>
          <w:b/>
        </w:rPr>
        <w:t xml:space="preserve">bere na vědomí základní informace o MAP IV. </w:t>
      </w:r>
    </w:p>
    <w:p w:rsidR="001D3255" w:rsidRPr="00772658" w:rsidRDefault="001D3255" w:rsidP="001D3255">
      <w:r w:rsidRPr="00772658">
        <w:t>Hlasování: Pro: 1</w:t>
      </w:r>
      <w:r>
        <w:t>8</w:t>
      </w:r>
      <w:r w:rsidRPr="00772658">
        <w:t xml:space="preserve">  Proti: 0   Zdržel se: </w:t>
      </w:r>
      <w:r>
        <w:t>0</w:t>
      </w:r>
    </w:p>
    <w:p w:rsidR="001D3255" w:rsidRDefault="001D3255" w:rsidP="001D3255">
      <w:pPr>
        <w:rPr>
          <w:sz w:val="24"/>
          <w:szCs w:val="24"/>
        </w:rPr>
      </w:pPr>
      <w:r w:rsidRPr="00772658">
        <w:rPr>
          <w:b/>
        </w:rPr>
        <w:t xml:space="preserve">Usnesení č. </w:t>
      </w:r>
      <w:r>
        <w:rPr>
          <w:b/>
        </w:rPr>
        <w:t>7</w:t>
      </w:r>
      <w:r w:rsidRPr="00772658">
        <w:rPr>
          <w:b/>
        </w:rPr>
        <w:t>-</w:t>
      </w:r>
      <w:r>
        <w:rPr>
          <w:b/>
        </w:rPr>
        <w:t>2/2023</w:t>
      </w:r>
      <w:r w:rsidRPr="00772658">
        <w:rPr>
          <w:b/>
        </w:rPr>
        <w:t>:</w:t>
      </w:r>
      <w:r w:rsidRPr="00B75B15">
        <w:rPr>
          <w:b/>
        </w:rPr>
        <w:t xml:space="preserve"> </w:t>
      </w:r>
      <w:r>
        <w:rPr>
          <w:b/>
        </w:rPr>
        <w:t xml:space="preserve">Základní informace o MAP IV byly vzaty na vědomí. </w:t>
      </w:r>
    </w:p>
    <w:p w:rsidR="0020479A" w:rsidRPr="002D5DCC" w:rsidRDefault="0020479A" w:rsidP="001D3255">
      <w:pPr>
        <w:pStyle w:val="Odstavecseseznamem"/>
        <w:numPr>
          <w:ilvl w:val="0"/>
          <w:numId w:val="1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Rekapitulace jednání ŘV v MAP III – Shrnutí procesu aktualizace investic (per </w:t>
      </w:r>
      <w:proofErr w:type="spellStart"/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rollam</w:t>
      </w:r>
      <w:proofErr w:type="spellEnd"/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v průběhu realizace projektu, hlasován proběhlo 6. 5. 2023 a byly schváleny investiční záměry SIP022023_souhrn_IROP_21_27; SIP022023_MŠ_IROP_21_27; SIP022023_ZŠ_IROP_21_27; SIP022023_CZV_IROP_21_27, které jsou uveřejněny na </w:t>
      </w:r>
      <w:hyperlink r:id="rId12" w:history="1">
        <w:r w:rsidRPr="002D5DCC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webu projektu</w:t>
        </w:r>
      </w:hyperlink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1D3255" w:rsidRPr="002D5DCC" w:rsidRDefault="001D3255" w:rsidP="001D3255">
      <w:pPr>
        <w:pStyle w:val="Odstavecseseznamem"/>
        <w:numPr>
          <w:ilvl w:val="0"/>
          <w:numId w:val="1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DCC">
        <w:rPr>
          <w:rFonts w:asciiTheme="minorHAnsi" w:eastAsiaTheme="minorHAnsi" w:hAnsiTheme="minorHAnsi" w:cstheme="minorBidi"/>
          <w:sz w:val="22"/>
          <w:szCs w:val="22"/>
          <w:lang w:eastAsia="en-US"/>
        </w:rPr>
        <w:t>Přílohy: MAP III ORP Černošice _FINAL; Seznam investic, SIP112023_IROP_21-27,  Závěrečná evaluační zpráva, Prezentace na jednání ŘV</w:t>
      </w:r>
      <w:bookmarkStart w:id="0" w:name="_GoBack"/>
      <w:bookmarkEnd w:id="0"/>
    </w:p>
    <w:p w:rsidR="001D3255" w:rsidRDefault="001D3255" w:rsidP="001D3255">
      <w:pPr>
        <w:spacing w:after="0"/>
        <w:ind w:left="360"/>
        <w:rPr>
          <w:sz w:val="24"/>
          <w:szCs w:val="24"/>
        </w:rPr>
      </w:pPr>
    </w:p>
    <w:p w:rsidR="001D3255" w:rsidRDefault="001D3255" w:rsidP="001D325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Zapsala: Renata Hlavešová</w:t>
      </w:r>
    </w:p>
    <w:p w:rsidR="001D3255" w:rsidRPr="00A34DB1" w:rsidRDefault="001D3255" w:rsidP="00A34DB1">
      <w:pPr>
        <w:ind w:left="360"/>
        <w:rPr>
          <w:sz w:val="24"/>
          <w:szCs w:val="24"/>
        </w:rPr>
      </w:pPr>
      <w:r>
        <w:rPr>
          <w:sz w:val="24"/>
          <w:szCs w:val="24"/>
        </w:rPr>
        <w:t>Ověřila: Monika Neužilová</w:t>
      </w:r>
    </w:p>
    <w:sectPr w:rsidR="001D3255" w:rsidRPr="00A34DB1" w:rsidSect="00CA1AAD">
      <w:headerReference w:type="default" r:id="rId13"/>
      <w:footerReference w:type="default" r:id="rId14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F5E" w:rsidRDefault="00072F5E" w:rsidP="002F7C2F">
      <w:pPr>
        <w:spacing w:after="0" w:line="240" w:lineRule="auto"/>
      </w:pPr>
      <w:r>
        <w:separator/>
      </w:r>
    </w:p>
  </w:endnote>
  <w:endnote w:type="continuationSeparator" w:id="0">
    <w:p w:rsidR="00072F5E" w:rsidRDefault="00072F5E" w:rsidP="002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08" w:rsidRDefault="008C0708" w:rsidP="008C0708">
    <w:pPr>
      <w:pStyle w:val="Zpat"/>
      <w:rPr>
        <w:noProof/>
        <w:lang w:eastAsia="cs-CZ"/>
      </w:rPr>
    </w:pPr>
  </w:p>
  <w:p w:rsidR="008C0708" w:rsidRDefault="00726478" w:rsidP="008C0708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4611600" cy="102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0708" w:rsidRDefault="0072647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97DB9A" wp14:editId="7AD07FC7">
          <wp:simplePos x="0" y="0"/>
          <wp:positionH relativeFrom="column">
            <wp:posOffset>208915</wp:posOffset>
          </wp:positionH>
          <wp:positionV relativeFrom="paragraph">
            <wp:posOffset>801370</wp:posOffset>
          </wp:positionV>
          <wp:extent cx="5583600" cy="1245600"/>
          <wp:effectExtent l="0" t="0" r="0" b="0"/>
          <wp:wrapTight wrapText="bothSides">
            <wp:wrapPolygon edited="0">
              <wp:start x="0" y="0"/>
              <wp:lineTo x="0" y="21148"/>
              <wp:lineTo x="21519" y="21148"/>
              <wp:lineTo x="2151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MSMT_VVV_hor_barva_cz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3600" cy="12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F5E" w:rsidRDefault="00072F5E" w:rsidP="002F7C2F">
      <w:pPr>
        <w:spacing w:after="0" w:line="240" w:lineRule="auto"/>
      </w:pPr>
      <w:r>
        <w:separator/>
      </w:r>
    </w:p>
  </w:footnote>
  <w:footnote w:type="continuationSeparator" w:id="0">
    <w:p w:rsidR="00072F5E" w:rsidRDefault="00072F5E" w:rsidP="002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2A" w:rsidRDefault="00DF3D85" w:rsidP="00247B2A">
    <w:pPr>
      <w:pStyle w:val="Zhlav"/>
    </w:pPr>
    <w:r>
      <w:rPr>
        <w:noProof/>
        <w:lang w:eastAsia="cs-CZ"/>
      </w:rPr>
      <w:drawing>
        <wp:inline distT="0" distB="0" distL="0" distR="0">
          <wp:extent cx="532800" cy="511200"/>
          <wp:effectExtent l="0" t="0" r="635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511200" cy="511200"/>
          <wp:effectExtent l="0" t="0" r="3175" b="317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MAP obráz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1407600" cy="511200"/>
          <wp:effectExtent l="0" t="0" r="2540" b="317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s jihozáp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3D85" w:rsidRDefault="00DF3D85" w:rsidP="00DF3D85">
    <w:pPr>
      <w:pStyle w:val="Zhlav"/>
    </w:pPr>
  </w:p>
  <w:p w:rsidR="00DF3D85" w:rsidRPr="00830CE8" w:rsidRDefault="00DF3D85" w:rsidP="00DF3D85">
    <w:pPr>
      <w:pStyle w:val="Zhlav"/>
      <w:rPr>
        <w:b/>
        <w:color w:val="2E74B5"/>
        <w:sz w:val="20"/>
      </w:rPr>
    </w:pPr>
    <w:r w:rsidRPr="00A96102">
      <w:rPr>
        <w:b/>
        <w:color w:val="2E74B5"/>
        <w:sz w:val="20"/>
      </w:rPr>
      <w:t xml:space="preserve">Místní akční plán </w:t>
    </w:r>
    <w:r>
      <w:rPr>
        <w:b/>
        <w:color w:val="2E74B5"/>
        <w:sz w:val="20"/>
      </w:rPr>
      <w:t>II</w:t>
    </w:r>
    <w:r w:rsidR="003D0D21">
      <w:rPr>
        <w:b/>
        <w:color w:val="2E74B5"/>
        <w:sz w:val="20"/>
      </w:rPr>
      <w:t>I</w:t>
    </w:r>
    <w:r>
      <w:rPr>
        <w:b/>
        <w:color w:val="2E74B5"/>
        <w:sz w:val="20"/>
      </w:rPr>
      <w:t xml:space="preserve"> pro </w:t>
    </w:r>
    <w:r w:rsidRPr="00A96102">
      <w:rPr>
        <w:b/>
        <w:color w:val="2E74B5"/>
        <w:sz w:val="20"/>
      </w:rPr>
      <w:t xml:space="preserve">vzdělávání na území ORP Černošice, č. </w:t>
    </w:r>
    <w:r w:rsidR="003D0D21" w:rsidRPr="003D0D21">
      <w:rPr>
        <w:rFonts w:ascii="Calibri" w:hAnsi="Calibri" w:cs="Times New Roman"/>
        <w:b/>
        <w:color w:val="2E74B5"/>
        <w:sz w:val="20"/>
      </w:rPr>
      <w:t>CZ.02.3.68/0.0/0.0/20_082/0023104</w:t>
    </w:r>
  </w:p>
  <w:p w:rsidR="00DF3D85" w:rsidRPr="00A96102" w:rsidRDefault="00DF3D85" w:rsidP="00DF3D85">
    <w:pPr>
      <w:pStyle w:val="Zhlav"/>
      <w:jc w:val="center"/>
      <w:rPr>
        <w:b/>
        <w:color w:val="2E74B5"/>
        <w:sz w:val="20"/>
      </w:rPr>
    </w:pPr>
  </w:p>
  <w:p w:rsidR="00DF3D85" w:rsidRDefault="00DF3D85" w:rsidP="00DF3D85">
    <w:pPr>
      <w:jc w:val="center"/>
    </w:pPr>
    <w:r w:rsidRPr="00A96102"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 w:rsidRPr="00A96102">
      <w:rPr>
        <w:color w:val="70AD47"/>
        <w:sz w:val="20"/>
        <w:szCs w:val="18"/>
      </w:rPr>
      <w:br/>
      <w:t>mobilní telefon: +420</w:t>
    </w:r>
    <w:r>
      <w:rPr>
        <w:color w:val="70AD47"/>
        <w:sz w:val="20"/>
        <w:szCs w:val="18"/>
      </w:rPr>
      <w:t xml:space="preserve"> 603 402 742</w:t>
    </w:r>
    <w:r w:rsidRPr="00A96102">
      <w:rPr>
        <w:color w:val="70AD47"/>
        <w:sz w:val="20"/>
        <w:szCs w:val="18"/>
      </w:rPr>
      <w:t xml:space="preserve">, </w:t>
    </w:r>
    <w:r>
      <w:rPr>
        <w:color w:val="70AD47"/>
        <w:sz w:val="20"/>
        <w:szCs w:val="18"/>
      </w:rPr>
      <w:t>www.map-orpcernosice.cz</w:t>
    </w:r>
    <w:r w:rsidRPr="00A96102">
      <w:rPr>
        <w:color w:val="70AD47"/>
        <w:sz w:val="20"/>
        <w:szCs w:val="18"/>
      </w:rPr>
      <w:t>, oficiální e-mail</w:t>
    </w:r>
    <w:r>
      <w:rPr>
        <w:color w:val="70AD47"/>
        <w:sz w:val="20"/>
        <w:szCs w:val="18"/>
      </w:rPr>
      <w:t>: map</w:t>
    </w:r>
    <w:r w:rsidRPr="00A96102">
      <w:rPr>
        <w:color w:val="70AD47"/>
        <w:sz w:val="20"/>
        <w:szCs w:val="18"/>
      </w:rPr>
      <w:t>@mas-dolnobrezansko.cz</w:t>
    </w:r>
    <w:r w:rsidR="00072F5E">
      <w:pict>
        <v:rect id="_x0000_i1025" style="width:453.6pt;height:1pt" o:hralign="center" o:hrstd="t" o:hrnoshade="t" o:hr="t" fillcolor="#2e74b5" stroked="f"/>
      </w:pict>
    </w:r>
  </w:p>
  <w:p w:rsidR="00DF3D85" w:rsidRPr="00DF3D85" w:rsidRDefault="00DF3D85" w:rsidP="00DF3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4824"/>
    <w:multiLevelType w:val="hybridMultilevel"/>
    <w:tmpl w:val="8F52D564"/>
    <w:lvl w:ilvl="0" w:tplc="43E283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322D3"/>
    <w:multiLevelType w:val="hybridMultilevel"/>
    <w:tmpl w:val="E6AAC598"/>
    <w:lvl w:ilvl="0" w:tplc="CBA2C4E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7F1FFF"/>
    <w:multiLevelType w:val="hybridMultilevel"/>
    <w:tmpl w:val="1DB40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C4B05"/>
    <w:multiLevelType w:val="hybridMultilevel"/>
    <w:tmpl w:val="7422B3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D067B7"/>
    <w:multiLevelType w:val="hybridMultilevel"/>
    <w:tmpl w:val="776A82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462B3C"/>
    <w:multiLevelType w:val="hybridMultilevel"/>
    <w:tmpl w:val="6CDC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6736D"/>
    <w:multiLevelType w:val="hybridMultilevel"/>
    <w:tmpl w:val="AA08A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51E60"/>
    <w:multiLevelType w:val="hybridMultilevel"/>
    <w:tmpl w:val="0B425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F06A9"/>
    <w:multiLevelType w:val="hybridMultilevel"/>
    <w:tmpl w:val="66461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D628D"/>
    <w:multiLevelType w:val="hybridMultilevel"/>
    <w:tmpl w:val="1428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F42E7"/>
    <w:multiLevelType w:val="hybridMultilevel"/>
    <w:tmpl w:val="1FE28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F63C9"/>
    <w:multiLevelType w:val="hybridMultilevel"/>
    <w:tmpl w:val="C2D61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11"/>
  </w:num>
  <w:num w:numId="9">
    <w:abstractNumId w:val="5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A2"/>
    <w:rsid w:val="00016EC7"/>
    <w:rsid w:val="0003148E"/>
    <w:rsid w:val="00054E30"/>
    <w:rsid w:val="00057ABF"/>
    <w:rsid w:val="00072F5E"/>
    <w:rsid w:val="000872E8"/>
    <w:rsid w:val="000F4324"/>
    <w:rsid w:val="00103D70"/>
    <w:rsid w:val="00110B27"/>
    <w:rsid w:val="00133FC7"/>
    <w:rsid w:val="00145DFA"/>
    <w:rsid w:val="001574AF"/>
    <w:rsid w:val="00180C79"/>
    <w:rsid w:val="001D3255"/>
    <w:rsid w:val="001D7BEC"/>
    <w:rsid w:val="00203C01"/>
    <w:rsid w:val="0020479A"/>
    <w:rsid w:val="00215DBB"/>
    <w:rsid w:val="00235DA7"/>
    <w:rsid w:val="00247B2A"/>
    <w:rsid w:val="0025390C"/>
    <w:rsid w:val="00254EFE"/>
    <w:rsid w:val="002659B1"/>
    <w:rsid w:val="002B1CA2"/>
    <w:rsid w:val="002B31CF"/>
    <w:rsid w:val="002D5DCC"/>
    <w:rsid w:val="002F7C2F"/>
    <w:rsid w:val="00315FFD"/>
    <w:rsid w:val="00365232"/>
    <w:rsid w:val="003D0D21"/>
    <w:rsid w:val="003F48EB"/>
    <w:rsid w:val="00427AB3"/>
    <w:rsid w:val="00443C85"/>
    <w:rsid w:val="0048332F"/>
    <w:rsid w:val="004A3FFF"/>
    <w:rsid w:val="004B5BCD"/>
    <w:rsid w:val="00543EB7"/>
    <w:rsid w:val="00550D20"/>
    <w:rsid w:val="00566E4D"/>
    <w:rsid w:val="0058681D"/>
    <w:rsid w:val="006100D1"/>
    <w:rsid w:val="00672767"/>
    <w:rsid w:val="006872DB"/>
    <w:rsid w:val="00726478"/>
    <w:rsid w:val="00727A54"/>
    <w:rsid w:val="00784DF9"/>
    <w:rsid w:val="007A3F84"/>
    <w:rsid w:val="007B280B"/>
    <w:rsid w:val="007B463F"/>
    <w:rsid w:val="007D4F6E"/>
    <w:rsid w:val="007E3A4A"/>
    <w:rsid w:val="00801BD9"/>
    <w:rsid w:val="00803B1C"/>
    <w:rsid w:val="00815934"/>
    <w:rsid w:val="00831F28"/>
    <w:rsid w:val="00843FC8"/>
    <w:rsid w:val="00851D57"/>
    <w:rsid w:val="00863EF1"/>
    <w:rsid w:val="0087209B"/>
    <w:rsid w:val="00872111"/>
    <w:rsid w:val="008C0708"/>
    <w:rsid w:val="008E40FF"/>
    <w:rsid w:val="00957357"/>
    <w:rsid w:val="00962627"/>
    <w:rsid w:val="009A10C3"/>
    <w:rsid w:val="009B7181"/>
    <w:rsid w:val="009F73F5"/>
    <w:rsid w:val="00A05DAF"/>
    <w:rsid w:val="00A13309"/>
    <w:rsid w:val="00A34DB1"/>
    <w:rsid w:val="00A43E62"/>
    <w:rsid w:val="00A50652"/>
    <w:rsid w:val="00A87D5A"/>
    <w:rsid w:val="00AD3369"/>
    <w:rsid w:val="00AE3953"/>
    <w:rsid w:val="00B3116C"/>
    <w:rsid w:val="00B45342"/>
    <w:rsid w:val="00B52F5C"/>
    <w:rsid w:val="00B71FE9"/>
    <w:rsid w:val="00B75B15"/>
    <w:rsid w:val="00BA0F52"/>
    <w:rsid w:val="00CA1AAD"/>
    <w:rsid w:val="00CB411D"/>
    <w:rsid w:val="00CD32DF"/>
    <w:rsid w:val="00CE63B7"/>
    <w:rsid w:val="00D3338F"/>
    <w:rsid w:val="00D50DED"/>
    <w:rsid w:val="00D65B56"/>
    <w:rsid w:val="00D86C3B"/>
    <w:rsid w:val="00D87768"/>
    <w:rsid w:val="00D9302F"/>
    <w:rsid w:val="00D948A8"/>
    <w:rsid w:val="00DB6623"/>
    <w:rsid w:val="00DC09C4"/>
    <w:rsid w:val="00DF3D85"/>
    <w:rsid w:val="00E442D5"/>
    <w:rsid w:val="00E53D40"/>
    <w:rsid w:val="00E61B77"/>
    <w:rsid w:val="00E72A18"/>
    <w:rsid w:val="00E73E37"/>
    <w:rsid w:val="00EA274B"/>
    <w:rsid w:val="00F240CF"/>
    <w:rsid w:val="00F35986"/>
    <w:rsid w:val="00F54FEE"/>
    <w:rsid w:val="00F8137D"/>
    <w:rsid w:val="00F843A2"/>
    <w:rsid w:val="00F87A5A"/>
    <w:rsid w:val="00F930ED"/>
    <w:rsid w:val="00FA2BF1"/>
    <w:rsid w:val="00FA4116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38F8C"/>
  <w15:docId w15:val="{FAF4C509-9FE9-4DF3-B1A9-AD5CAA37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2DB"/>
  </w:style>
  <w:style w:type="paragraph" w:styleId="Nadpis1">
    <w:name w:val="heading 1"/>
    <w:basedOn w:val="Normln"/>
    <w:next w:val="Normln"/>
    <w:link w:val="Nadpis1Char"/>
    <w:uiPriority w:val="9"/>
    <w:qFormat/>
    <w:rsid w:val="00F81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C2F"/>
  </w:style>
  <w:style w:type="paragraph" w:styleId="Zpat">
    <w:name w:val="footer"/>
    <w:basedOn w:val="Normln"/>
    <w:link w:val="Zpat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C2F"/>
  </w:style>
  <w:style w:type="paragraph" w:styleId="Textbubliny">
    <w:name w:val="Balloon Text"/>
    <w:basedOn w:val="Normln"/>
    <w:link w:val="TextbublinyChar"/>
    <w:uiPriority w:val="99"/>
    <w:semiHidden/>
    <w:unhideWhenUsed/>
    <w:rsid w:val="0087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F5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E44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FE442C"/>
    <w:rPr>
      <w:b/>
      <w:bCs/>
    </w:rPr>
  </w:style>
  <w:style w:type="paragraph" w:styleId="Zkladntext">
    <w:name w:val="Body Text"/>
    <w:basedOn w:val="Normln"/>
    <w:link w:val="ZkladntextChar"/>
    <w:semiHidden/>
    <w:rsid w:val="00FE44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E44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E442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13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p-orpcernosice.cz/projektove-dokument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b89006-f079-409c-82d3-e6a2f779b5d2">
      <Terms xmlns="http://schemas.microsoft.com/office/infopath/2007/PartnerControls"/>
    </lcf76f155ced4ddcb4097134ff3c332f>
    <TaxCatchAll xmlns="bee09978-1ad0-4558-a355-f184125b2d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15" ma:contentTypeDescription="Vytvoří nový dokument" ma:contentTypeScope="" ma:versionID="0f4c764db23bf84460cd22f1bd10cd44">
  <xsd:schema xmlns:xsd="http://www.w3.org/2001/XMLSchema" xmlns:xs="http://www.w3.org/2001/XMLSchema" xmlns:p="http://schemas.microsoft.com/office/2006/metadata/properties" xmlns:ns2="bee09978-1ad0-4558-a355-f184125b2d21" xmlns:ns3="10b89006-f079-409c-82d3-e6a2f779b5d2" targetNamespace="http://schemas.microsoft.com/office/2006/metadata/properties" ma:root="true" ma:fieldsID="290dfad3e7238f6c2ed174b2e1da1668" ns2:_="" ns3:_="">
    <xsd:import namespace="bee09978-1ad0-4558-a355-f184125b2d21"/>
    <xsd:import namespace="10b89006-f079-409c-82d3-e6a2f779b5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36c6343-e6fa-4024-a915-8f2df9814cb8}" ma:internalName="TaxCatchAll" ma:showField="CatchAllData" ma:web="bee09978-1ad0-4558-a355-f184125b2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89006-f079-409c-82d3-e6a2f779b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4772d7-6255-4ded-9d25-68369abac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02F5C-5A89-4EC2-B8ED-691A2208EFAE}">
  <ds:schemaRefs>
    <ds:schemaRef ds:uri="http://schemas.microsoft.com/office/2006/metadata/properties"/>
    <ds:schemaRef ds:uri="http://schemas.microsoft.com/office/infopath/2007/PartnerControls"/>
    <ds:schemaRef ds:uri="10b89006-f079-409c-82d3-e6a2f779b5d2"/>
    <ds:schemaRef ds:uri="bee09978-1ad0-4558-a355-f184125b2d21"/>
  </ds:schemaRefs>
</ds:datastoreItem>
</file>

<file path=customXml/itemProps2.xml><?xml version="1.0" encoding="utf-8"?>
<ds:datastoreItem xmlns:ds="http://schemas.openxmlformats.org/officeDocument/2006/customXml" ds:itemID="{ED995E38-AD65-4ECB-9B9A-FED94F8E8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10b89006-f079-409c-82d3-e6a2f779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56FA7-F059-4235-B653-88A10299E8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8F615-55E5-44FB-B7A9-4A1D2F07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912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Jirsová</dc:creator>
  <cp:lastModifiedBy>Hana Barboříková</cp:lastModifiedBy>
  <cp:revision>10</cp:revision>
  <cp:lastPrinted>2019-01-09T10:29:00Z</cp:lastPrinted>
  <dcterms:created xsi:type="dcterms:W3CDTF">2023-12-04T11:57:00Z</dcterms:created>
  <dcterms:modified xsi:type="dcterms:W3CDTF">2024-01-05T09:40:00Z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  <property fmtid="{D5CDD505-2E9C-101B-9397-08002B2CF9AE}" pid="3" name="MediaServiceImageTags">
    <vt:lpwstr/>
  </property>
</Properties>
</file>