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DE" w:rsidRPr="00775B0B" w:rsidRDefault="00775B0B">
      <w:pPr>
        <w:rPr>
          <w:b/>
          <w:sz w:val="40"/>
        </w:rPr>
      </w:pPr>
      <w:bookmarkStart w:id="0" w:name="_gjdgxs" w:colFirst="0" w:colLast="0"/>
      <w:bookmarkEnd w:id="0"/>
      <w:r w:rsidRPr="00775B0B">
        <w:rPr>
          <w:b/>
          <w:sz w:val="40"/>
        </w:rPr>
        <w:t>Tisková zpráva</w:t>
      </w:r>
      <w:r w:rsidR="00CA6244">
        <w:rPr>
          <w:b/>
          <w:sz w:val="40"/>
        </w:rPr>
        <w:t xml:space="preserve"> |</w:t>
      </w:r>
      <w:r w:rsidR="00CA6244" w:rsidRPr="00CA6244">
        <w:rPr>
          <w:sz w:val="40"/>
        </w:rPr>
        <w:t>30. září 2022</w:t>
      </w:r>
    </w:p>
    <w:p w:rsidR="00775B0B" w:rsidRPr="00775B0B" w:rsidRDefault="00775B0B" w:rsidP="00775B0B">
      <w:pPr>
        <w:jc w:val="both"/>
        <w:rPr>
          <w:b/>
        </w:rPr>
      </w:pPr>
      <w:r w:rsidRPr="00775B0B">
        <w:rPr>
          <w:b/>
        </w:rPr>
        <w:t xml:space="preserve">Od roku 2015 probíhá na území ORP Černošice nepřetržité místní akční plánování ve vzdělávání. </w:t>
      </w:r>
      <w:r w:rsidR="003455A9">
        <w:rPr>
          <w:b/>
        </w:rPr>
        <w:t xml:space="preserve"> Jeho c</w:t>
      </w:r>
      <w:r w:rsidRPr="00775B0B">
        <w:rPr>
          <w:b/>
        </w:rPr>
        <w:t xml:space="preserve">ílem je </w:t>
      </w:r>
      <w:r w:rsidR="003455A9">
        <w:rPr>
          <w:b/>
        </w:rPr>
        <w:t>neustálé</w:t>
      </w:r>
      <w:r w:rsidRPr="00775B0B">
        <w:rPr>
          <w:b/>
        </w:rPr>
        <w:t xml:space="preserve"> zvyšov</w:t>
      </w:r>
      <w:r w:rsidR="003455A9">
        <w:rPr>
          <w:b/>
        </w:rPr>
        <w:t>ání kvality vzdělávání v regionu pro všechny děti a žáky, v dostupné vzdálenosti a v komunitě obce, kde si mohou vytvářet další osobní vazby a vztahy.</w:t>
      </w:r>
    </w:p>
    <w:p w:rsidR="00775B0B" w:rsidRDefault="00775B0B" w:rsidP="00775B0B">
      <w:pPr>
        <w:jc w:val="both"/>
      </w:pPr>
      <w:r>
        <w:t xml:space="preserve">V regionu </w:t>
      </w:r>
      <w:r w:rsidR="003455A9">
        <w:t xml:space="preserve">je </w:t>
      </w:r>
      <w:r>
        <w:t>zřízeno 56 základních škol a 77 mateřských škol, ve kterých se vzdělává více než 21 tis dětí a žáků. Přes 70 % škol se zapojilo do společného projektu Místní akční plán pro vzdělávání II pro ORP Černošice, který navazuje na svého předchůdce MAP I.</w:t>
      </w:r>
    </w:p>
    <w:p w:rsidR="00775B0B" w:rsidRDefault="002302B0" w:rsidP="00775B0B">
      <w:pPr>
        <w:jc w:val="both"/>
      </w:pPr>
      <w:r w:rsidRPr="002302B0">
        <w:rPr>
          <w:b/>
          <w:i/>
        </w:rPr>
        <w:t>„</w:t>
      </w:r>
      <w:r w:rsidR="00775B0B" w:rsidRPr="002302B0">
        <w:rPr>
          <w:b/>
          <w:i/>
        </w:rPr>
        <w:t>Hlavní problémy k řešení?</w:t>
      </w:r>
      <w:r w:rsidR="00775B0B" w:rsidRPr="002302B0">
        <w:rPr>
          <w:i/>
        </w:rPr>
        <w:t xml:space="preserve"> </w:t>
      </w:r>
      <w:r w:rsidR="00775B0B" w:rsidRPr="002302B0">
        <w:rPr>
          <w:b/>
          <w:i/>
        </w:rPr>
        <w:t>Nedostatečné kapacity škol a doprovodné infrastruktury, nedostatek pedagogů a dalších osob pro zájmové vzdělávání a aktivity dětí, podfinancování.</w:t>
      </w:r>
      <w:r w:rsidR="00775B0B" w:rsidRPr="002302B0">
        <w:rPr>
          <w:i/>
        </w:rPr>
        <w:t xml:space="preserve"> </w:t>
      </w:r>
      <w:r w:rsidR="00775B0B" w:rsidRPr="002302B0">
        <w:rPr>
          <w:b/>
          <w:i/>
        </w:rPr>
        <w:t>To jsou stálé hlavní problémy a klíčové priority území, které bohužel nadále přetrvávají</w:t>
      </w:r>
      <w:r w:rsidRPr="002302B0">
        <w:rPr>
          <w:b/>
          <w:i/>
        </w:rPr>
        <w:t>“</w:t>
      </w:r>
      <w:r w:rsidRPr="002302B0">
        <w:rPr>
          <w:i/>
        </w:rPr>
        <w:t>,</w:t>
      </w:r>
      <w:r>
        <w:t xml:space="preserve"> uvádí Hana Barboříková, projektová manažerka MAP II</w:t>
      </w:r>
      <w:r w:rsidR="00775B0B">
        <w:t>.</w:t>
      </w:r>
    </w:p>
    <w:p w:rsidR="00775B0B" w:rsidRDefault="00775B0B" w:rsidP="00775B0B">
      <w:pPr>
        <w:jc w:val="both"/>
      </w:pPr>
      <w:r w:rsidRPr="00775B0B">
        <w:rPr>
          <w:b/>
        </w:rPr>
        <w:t>Dlouhodob</w:t>
      </w:r>
      <w:r w:rsidR="000D09F7">
        <w:rPr>
          <w:b/>
        </w:rPr>
        <w:t>á</w:t>
      </w:r>
      <w:r w:rsidRPr="00775B0B">
        <w:rPr>
          <w:b/>
        </w:rPr>
        <w:t xml:space="preserve"> snaha území řešit nedostatek kapacit škol, je </w:t>
      </w:r>
      <w:r w:rsidR="000D09F7">
        <w:rPr>
          <w:b/>
        </w:rPr>
        <w:t xml:space="preserve">jednou z klíčových činností v projektu </w:t>
      </w:r>
      <w:r w:rsidRPr="00775B0B">
        <w:rPr>
          <w:b/>
        </w:rPr>
        <w:t xml:space="preserve"> MAP II. </w:t>
      </w:r>
      <w:r w:rsidR="000D09F7">
        <w:rPr>
          <w:b/>
        </w:rPr>
        <w:t xml:space="preserve">Velké úsilí místních </w:t>
      </w:r>
      <w:r w:rsidRPr="00775B0B">
        <w:rPr>
          <w:b/>
        </w:rPr>
        <w:t>samospráv</w:t>
      </w:r>
      <w:r w:rsidR="000D09F7">
        <w:rPr>
          <w:b/>
        </w:rPr>
        <w:t xml:space="preserve"> ve spolupráci s projektovým týmem MAP, </w:t>
      </w:r>
      <w:r w:rsidRPr="00775B0B">
        <w:rPr>
          <w:b/>
        </w:rPr>
        <w:t>Středočeským krajem a dalšími partnery, vedl</w:t>
      </w:r>
      <w:r w:rsidR="000D09F7">
        <w:rPr>
          <w:b/>
        </w:rPr>
        <w:t>o k</w:t>
      </w:r>
      <w:r w:rsidRPr="00775B0B">
        <w:rPr>
          <w:b/>
        </w:rPr>
        <w:t xml:space="preserve"> realizaci projektů</w:t>
      </w:r>
      <w:r>
        <w:t xml:space="preserve"> výstavby několika velkých páteřních škol v území (např. Psáry, </w:t>
      </w:r>
      <w:proofErr w:type="spellStart"/>
      <w:r>
        <w:t>Zdiměřice</w:t>
      </w:r>
      <w:proofErr w:type="spellEnd"/>
      <w:r>
        <w:t xml:space="preserve">) a navyšování kapacit plně organizovaných škol (např. Rudná, Chýně, Roztoky). </w:t>
      </w:r>
      <w:r w:rsidRPr="00775B0B">
        <w:rPr>
          <w:b/>
        </w:rPr>
        <w:t>To vše sice do území regionu přineslo navýšení kapacit, ale situace i nadále zůstává kritická, zejména pokud jde o kapacity 2. stupňů ZŠ.</w:t>
      </w:r>
      <w:r>
        <w:t xml:space="preserve"> Navíc v tomto roce se zhoršila dopadem migrace dětí a žáků z Ukrajiny.</w:t>
      </w:r>
    </w:p>
    <w:p w:rsidR="00775B0B" w:rsidRDefault="00775B0B" w:rsidP="00775B0B">
      <w:pPr>
        <w:spacing w:after="120"/>
      </w:pPr>
      <w:r>
        <w:t xml:space="preserve">Za posledních 5 let se podařilo v území obcím zrealizovat několik velkých </w:t>
      </w:r>
      <w:r w:rsidR="000272E4">
        <w:t xml:space="preserve">i menších </w:t>
      </w:r>
      <w:r>
        <w:t>investic zvyšujících kapacitu mateřských a základních škol.</w:t>
      </w:r>
    </w:p>
    <w:p w:rsidR="00775B0B" w:rsidRDefault="00775B0B" w:rsidP="00775B0B">
      <w:pPr>
        <w:rPr>
          <w:b/>
        </w:rPr>
        <w:sectPr w:rsidR="00775B0B" w:rsidSect="00775B0B">
          <w:headerReference w:type="default" r:id="rId8"/>
          <w:footerReference w:type="default" r:id="rId9"/>
          <w:pgSz w:w="11906" w:h="16838"/>
          <w:pgMar w:top="843" w:right="1417" w:bottom="851" w:left="1417" w:header="708" w:footer="708" w:gutter="0"/>
          <w:pgNumType w:start="1"/>
          <w:cols w:space="708"/>
        </w:sectPr>
      </w:pPr>
    </w:p>
    <w:p w:rsidR="00775B0B" w:rsidRPr="003F39D7" w:rsidRDefault="00775B0B" w:rsidP="00775B0B">
      <w:pPr>
        <w:rPr>
          <w:b/>
        </w:rPr>
      </w:pPr>
      <w:r w:rsidRPr="003F39D7">
        <w:rPr>
          <w:b/>
        </w:rPr>
        <w:lastRenderedPageBreak/>
        <w:t>ZŠ projekty</w:t>
      </w:r>
    </w:p>
    <w:p w:rsidR="00775B0B" w:rsidRDefault="00775B0B" w:rsidP="00FD5A93">
      <w:pPr>
        <w:pStyle w:val="Odstavecseseznamem"/>
        <w:numPr>
          <w:ilvl w:val="0"/>
          <w:numId w:val="2"/>
        </w:numPr>
      </w:pPr>
      <w:r>
        <w:t>ZŠ Psáry (+540)</w:t>
      </w:r>
    </w:p>
    <w:p w:rsidR="00775B0B" w:rsidRDefault="00775B0B" w:rsidP="00FD5A93">
      <w:pPr>
        <w:pStyle w:val="Odstavecseseznamem"/>
        <w:numPr>
          <w:ilvl w:val="0"/>
          <w:numId w:val="2"/>
        </w:numPr>
      </w:pPr>
      <w:r>
        <w:t xml:space="preserve">ZŠ </w:t>
      </w:r>
      <w:proofErr w:type="spellStart"/>
      <w:r>
        <w:t>Zdiměřice</w:t>
      </w:r>
      <w:proofErr w:type="spellEnd"/>
      <w:r>
        <w:t xml:space="preserve"> (+540)</w:t>
      </w:r>
    </w:p>
    <w:p w:rsidR="00775B0B" w:rsidRDefault="00775B0B" w:rsidP="00FD5A93">
      <w:pPr>
        <w:pStyle w:val="Odstavecseseznamem"/>
        <w:numPr>
          <w:ilvl w:val="0"/>
          <w:numId w:val="2"/>
        </w:numPr>
      </w:pPr>
      <w:r>
        <w:t xml:space="preserve">ZŠ Rudná </w:t>
      </w:r>
    </w:p>
    <w:p w:rsidR="00775B0B" w:rsidRDefault="00775B0B" w:rsidP="00FD5A93">
      <w:pPr>
        <w:pStyle w:val="Odstavecseseznamem"/>
        <w:numPr>
          <w:ilvl w:val="0"/>
          <w:numId w:val="2"/>
        </w:numPr>
      </w:pPr>
      <w:r>
        <w:t>ZŠ Mníšek pod Brdy (přístavba pavilon)</w:t>
      </w:r>
    </w:p>
    <w:p w:rsidR="00775B0B" w:rsidRDefault="00775B0B" w:rsidP="00FD5A93">
      <w:pPr>
        <w:pStyle w:val="Odstavecseseznamem"/>
        <w:numPr>
          <w:ilvl w:val="0"/>
          <w:numId w:val="2"/>
        </w:numPr>
      </w:pPr>
      <w:r>
        <w:t>ZŠ Roztoky (+8tříd)</w:t>
      </w:r>
    </w:p>
    <w:p w:rsidR="00775B0B" w:rsidRDefault="00775B0B" w:rsidP="00FD5A93">
      <w:pPr>
        <w:pStyle w:val="Odstavecseseznamem"/>
        <w:numPr>
          <w:ilvl w:val="0"/>
          <w:numId w:val="2"/>
        </w:numPr>
      </w:pPr>
      <w:r>
        <w:t>ZŠ Chýně</w:t>
      </w:r>
    </w:p>
    <w:p w:rsidR="00775B0B" w:rsidRDefault="00775B0B" w:rsidP="00FD5A93">
      <w:pPr>
        <w:pStyle w:val="Odstavecseseznamem"/>
        <w:numPr>
          <w:ilvl w:val="0"/>
          <w:numId w:val="2"/>
        </w:numPr>
      </w:pPr>
      <w:r>
        <w:t>ZŠ Jinočany</w:t>
      </w:r>
    </w:p>
    <w:p w:rsidR="00775B0B" w:rsidRDefault="00775B0B" w:rsidP="00FD5A93">
      <w:pPr>
        <w:pStyle w:val="Odstavecseseznamem"/>
        <w:numPr>
          <w:ilvl w:val="0"/>
          <w:numId w:val="2"/>
        </w:numPr>
      </w:pPr>
      <w:r>
        <w:t>ZŠ Třebotov</w:t>
      </w:r>
    </w:p>
    <w:p w:rsidR="00775B0B" w:rsidRDefault="00775B0B" w:rsidP="00FD5A93">
      <w:pPr>
        <w:pStyle w:val="Odstavecseseznamem"/>
        <w:numPr>
          <w:ilvl w:val="0"/>
          <w:numId w:val="2"/>
        </w:numPr>
      </w:pPr>
      <w:r>
        <w:lastRenderedPageBreak/>
        <w:t>ZŠ Lety (1.etapa - 1.stupeň)</w:t>
      </w:r>
    </w:p>
    <w:p w:rsidR="00775B0B" w:rsidRDefault="00775B0B" w:rsidP="00FD5A93">
      <w:pPr>
        <w:pStyle w:val="Odstavecseseznamem"/>
        <w:numPr>
          <w:ilvl w:val="0"/>
          <w:numId w:val="2"/>
        </w:numPr>
      </w:pPr>
      <w:r>
        <w:t>ZŠ Černošice</w:t>
      </w:r>
    </w:p>
    <w:p w:rsidR="00775B0B" w:rsidRDefault="00775B0B" w:rsidP="00FD5A93">
      <w:pPr>
        <w:pStyle w:val="Odstavecseseznamem"/>
        <w:numPr>
          <w:ilvl w:val="0"/>
          <w:numId w:val="2"/>
        </w:numPr>
      </w:pPr>
      <w:r>
        <w:t>ZŠ Velké Přílepy</w:t>
      </w:r>
    </w:p>
    <w:p w:rsidR="00775B0B" w:rsidRDefault="00775B0B" w:rsidP="00FD5A93">
      <w:pPr>
        <w:pStyle w:val="Odstavecseseznamem"/>
        <w:numPr>
          <w:ilvl w:val="0"/>
          <w:numId w:val="2"/>
        </w:numPr>
      </w:pPr>
      <w:r>
        <w:t>ZŠ Hradištko</w:t>
      </w:r>
    </w:p>
    <w:p w:rsidR="00775B0B" w:rsidRPr="003F39D7" w:rsidRDefault="00775B0B" w:rsidP="00775B0B">
      <w:pPr>
        <w:rPr>
          <w:b/>
        </w:rPr>
      </w:pPr>
      <w:r w:rsidRPr="003F39D7">
        <w:rPr>
          <w:b/>
        </w:rPr>
        <w:t>MŠ projekty</w:t>
      </w:r>
    </w:p>
    <w:p w:rsidR="00775B0B" w:rsidRDefault="00775B0B" w:rsidP="00FD5A93">
      <w:pPr>
        <w:pStyle w:val="Odstavecseseznamem"/>
        <w:numPr>
          <w:ilvl w:val="0"/>
          <w:numId w:val="3"/>
        </w:numPr>
      </w:pPr>
      <w:r>
        <w:t>MŠ Dolní Břežany</w:t>
      </w:r>
    </w:p>
    <w:p w:rsidR="00775B0B" w:rsidRDefault="00775B0B" w:rsidP="00FD5A93">
      <w:pPr>
        <w:pStyle w:val="Odstavecseseznamem"/>
        <w:numPr>
          <w:ilvl w:val="0"/>
          <w:numId w:val="3"/>
        </w:numPr>
      </w:pPr>
      <w:r>
        <w:t>MŠ Zvole</w:t>
      </w:r>
    </w:p>
    <w:p w:rsidR="00775B0B" w:rsidRDefault="00775B0B" w:rsidP="00FD5A93">
      <w:pPr>
        <w:pStyle w:val="Odstavecseseznamem"/>
        <w:numPr>
          <w:ilvl w:val="0"/>
          <w:numId w:val="3"/>
        </w:numPr>
      </w:pPr>
      <w:r>
        <w:t>MŠ Vrané nad Vltavou</w:t>
      </w:r>
    </w:p>
    <w:p w:rsidR="00775B0B" w:rsidRDefault="00775B0B" w:rsidP="00FD5A93">
      <w:pPr>
        <w:pStyle w:val="Odstavecseseznamem"/>
        <w:numPr>
          <w:ilvl w:val="0"/>
          <w:numId w:val="3"/>
        </w:numPr>
        <w:spacing w:after="120"/>
      </w:pPr>
      <w:r>
        <w:t>MŠ Drahelčice, Na statku</w:t>
      </w:r>
    </w:p>
    <w:p w:rsidR="00775B0B" w:rsidRDefault="00775B0B" w:rsidP="00FD5A93">
      <w:pPr>
        <w:pStyle w:val="Odstavecseseznamem"/>
        <w:numPr>
          <w:ilvl w:val="0"/>
          <w:numId w:val="3"/>
        </w:numPr>
      </w:pPr>
      <w:r>
        <w:t>MŠ Březová-Oleško</w:t>
      </w:r>
    </w:p>
    <w:p w:rsidR="00775B0B" w:rsidRDefault="00775B0B" w:rsidP="00FD5A93">
      <w:pPr>
        <w:pStyle w:val="Odstavecseseznamem"/>
        <w:numPr>
          <w:ilvl w:val="0"/>
          <w:numId w:val="3"/>
        </w:numPr>
      </w:pPr>
      <w:r>
        <w:lastRenderedPageBreak/>
        <w:t>MŠ Roztoky, Tiché údolí + MŠ Palackého</w:t>
      </w:r>
    </w:p>
    <w:p w:rsidR="00775B0B" w:rsidRDefault="00775B0B" w:rsidP="00FD5A93">
      <w:pPr>
        <w:pStyle w:val="Odstavecseseznamem"/>
        <w:numPr>
          <w:ilvl w:val="0"/>
          <w:numId w:val="3"/>
        </w:numPr>
      </w:pPr>
      <w:r>
        <w:t>MŠ Černošice</w:t>
      </w:r>
    </w:p>
    <w:p w:rsidR="00775B0B" w:rsidRDefault="00775B0B" w:rsidP="00FD5A93">
      <w:pPr>
        <w:pStyle w:val="Odstavecseseznamem"/>
        <w:numPr>
          <w:ilvl w:val="0"/>
          <w:numId w:val="3"/>
        </w:numPr>
      </w:pPr>
      <w:r>
        <w:lastRenderedPageBreak/>
        <w:t>MŠ Psáry</w:t>
      </w:r>
    </w:p>
    <w:p w:rsidR="00775B0B" w:rsidRDefault="00775B0B" w:rsidP="00FD5A93">
      <w:pPr>
        <w:pStyle w:val="Odstavecseseznamem"/>
        <w:numPr>
          <w:ilvl w:val="0"/>
          <w:numId w:val="3"/>
        </w:numPr>
        <w:spacing w:after="120"/>
      </w:pPr>
      <w:r>
        <w:t>MŠ Hostivice</w:t>
      </w:r>
    </w:p>
    <w:p w:rsidR="00775B0B" w:rsidRDefault="00775B0B" w:rsidP="00FD5A93">
      <w:pPr>
        <w:pStyle w:val="Odstavecseseznamem"/>
        <w:numPr>
          <w:ilvl w:val="0"/>
          <w:numId w:val="3"/>
        </w:numPr>
        <w:spacing w:after="120"/>
      </w:pPr>
      <w:r>
        <w:t>Hnízdo Únětice</w:t>
      </w:r>
    </w:p>
    <w:p w:rsidR="00775B0B" w:rsidRDefault="00775B0B" w:rsidP="00775B0B">
      <w:pPr>
        <w:spacing w:after="120"/>
        <w:sectPr w:rsidR="00775B0B" w:rsidSect="00775B0B">
          <w:type w:val="continuous"/>
          <w:pgSz w:w="11906" w:h="16838"/>
          <w:pgMar w:top="843" w:right="1417" w:bottom="851" w:left="1417" w:header="708" w:footer="708" w:gutter="0"/>
          <w:pgNumType w:start="1"/>
          <w:cols w:num="2" w:space="708"/>
        </w:sectPr>
      </w:pPr>
    </w:p>
    <w:p w:rsidR="00775B0B" w:rsidRDefault="00775B0B" w:rsidP="00775B0B">
      <w:pPr>
        <w:spacing w:after="120"/>
      </w:pPr>
    </w:p>
    <w:p w:rsidR="00775B0B" w:rsidRDefault="00775B0B" w:rsidP="00775B0B">
      <w:pPr>
        <w:spacing w:after="120"/>
        <w:jc w:val="both"/>
      </w:pPr>
      <w:r w:rsidRPr="00FD5A93">
        <w:rPr>
          <w:b/>
        </w:rPr>
        <w:t>Další část investic směřovala do odborných učeben.</w:t>
      </w:r>
      <w:r w:rsidRPr="00E41755">
        <w:t xml:space="preserve"> Realizovala se </w:t>
      </w:r>
      <w:r w:rsidR="000D09F7">
        <w:t xml:space="preserve">například </w:t>
      </w:r>
      <w:r w:rsidRPr="00E41755">
        <w:t xml:space="preserve">v těchto školách: ZŠ Rudná, </w:t>
      </w:r>
      <w:r>
        <w:t xml:space="preserve">ZŠ Roztoky, </w:t>
      </w:r>
      <w:r w:rsidRPr="00E41755">
        <w:t xml:space="preserve">ZŠ Dolní Břežany, ZŠ Jesenice, Sunny </w:t>
      </w:r>
      <w:proofErr w:type="spellStart"/>
      <w:r w:rsidRPr="00E41755">
        <w:t>Canadien</w:t>
      </w:r>
      <w:proofErr w:type="spellEnd"/>
      <w:r w:rsidRPr="00E41755">
        <w:t xml:space="preserve"> </w:t>
      </w:r>
      <w:proofErr w:type="spellStart"/>
      <w:r w:rsidRPr="00E41755">
        <w:t>School</w:t>
      </w:r>
      <w:proofErr w:type="spellEnd"/>
      <w:r w:rsidRPr="00E41755">
        <w:t>, škola da Vinci, ZŠ Nučice, ZŠ Ořech</w:t>
      </w:r>
      <w:r>
        <w:t xml:space="preserve">, ZŠ </w:t>
      </w:r>
      <w:proofErr w:type="spellStart"/>
      <w:r>
        <w:t>Noutonice</w:t>
      </w:r>
      <w:proofErr w:type="spellEnd"/>
      <w:r>
        <w:t>, ZŠ Chrášťany, ZŠ Řevnice, ZŠ Černošice, ZŠ Štěchovice, ZŠ Ohrobec.</w:t>
      </w:r>
    </w:p>
    <w:p w:rsidR="00FD5A93" w:rsidRDefault="00FD5A93" w:rsidP="00775B0B">
      <w:pPr>
        <w:jc w:val="both"/>
      </w:pPr>
      <w:r>
        <w:rPr>
          <w:b/>
          <w:i/>
        </w:rPr>
        <w:t>„</w:t>
      </w:r>
      <w:r w:rsidR="00775B0B" w:rsidRPr="00FD5A93">
        <w:rPr>
          <w:b/>
          <w:i/>
        </w:rPr>
        <w:t>Na území stále přetrvává potřeba navyšovat kapacity škol, a to vzhledem k neustále rostoucímu počtu dětí a žáků. Dále jsou plánovány investice do kapacit odborných učeben, zkvalitňování zahrad mateřských a základních škol a mnoh</w:t>
      </w:r>
      <w:r w:rsidR="000272E4">
        <w:rPr>
          <w:b/>
          <w:i/>
        </w:rPr>
        <w:t>a</w:t>
      </w:r>
      <w:r w:rsidR="00775B0B" w:rsidRPr="00FD5A93">
        <w:rPr>
          <w:b/>
          <w:i/>
        </w:rPr>
        <w:t xml:space="preserve"> dalších</w:t>
      </w:r>
      <w:r w:rsidR="000272E4">
        <w:rPr>
          <w:b/>
          <w:i/>
        </w:rPr>
        <w:t xml:space="preserve"> záměrů</w:t>
      </w:r>
      <w:r w:rsidRPr="00FD5A93">
        <w:rPr>
          <w:b/>
          <w:i/>
        </w:rPr>
        <w:t>“,</w:t>
      </w:r>
      <w:r>
        <w:t xml:space="preserve"> doplňuje Hana Barboříková.</w:t>
      </w:r>
    </w:p>
    <w:p w:rsidR="00775B0B" w:rsidRPr="00775B0B" w:rsidRDefault="00775B0B" w:rsidP="00775B0B">
      <w:pPr>
        <w:jc w:val="both"/>
      </w:pPr>
      <w:r w:rsidRPr="00775B0B">
        <w:t xml:space="preserve">Kompletní výčet viz </w:t>
      </w:r>
      <w:hyperlink r:id="rId10" w:history="1">
        <w:r w:rsidRPr="00775B0B">
          <w:rPr>
            <w:rStyle w:val="Hypertextovodkaz"/>
          </w:rPr>
          <w:t>Přehled Investičních požadavků k 1. 9. 2022 schválený ŘV</w:t>
        </w:r>
      </w:hyperlink>
    </w:p>
    <w:p w:rsidR="00775B0B" w:rsidRDefault="00775B0B" w:rsidP="00775B0B">
      <w:pPr>
        <w:jc w:val="both"/>
      </w:pPr>
    </w:p>
    <w:p w:rsidR="00775B0B" w:rsidRPr="002302B0" w:rsidRDefault="00775B0B" w:rsidP="00775B0B">
      <w:pPr>
        <w:jc w:val="both"/>
        <w:rPr>
          <w:b/>
          <w:sz w:val="28"/>
        </w:rPr>
      </w:pPr>
      <w:r w:rsidRPr="002302B0">
        <w:rPr>
          <w:b/>
          <w:sz w:val="28"/>
        </w:rPr>
        <w:t>Co je potřeba, ale na projekty dosud nejsou dostatečné zdroje?</w:t>
      </w:r>
      <w:r w:rsidRPr="002302B0">
        <w:rPr>
          <w:rStyle w:val="Znakapoznpodarou"/>
          <w:b/>
          <w:sz w:val="28"/>
        </w:rPr>
        <w:footnoteReference w:id="1"/>
      </w:r>
      <w:r w:rsidRPr="002302B0">
        <w:rPr>
          <w:b/>
          <w:sz w:val="28"/>
        </w:rPr>
        <w:t xml:space="preserve">  </w:t>
      </w:r>
    </w:p>
    <w:p w:rsidR="00775B0B" w:rsidRPr="002302B0" w:rsidRDefault="00775B0B" w:rsidP="002302B0">
      <w:pPr>
        <w:pStyle w:val="Titulek"/>
        <w:jc w:val="left"/>
        <w:rPr>
          <w:rFonts w:asciiTheme="majorHAnsi" w:hAnsiTheme="majorHAnsi" w:cstheme="majorHAnsi"/>
          <w:sz w:val="22"/>
          <w:lang w:val="cs-CZ" w:eastAsia="cs-CZ"/>
        </w:rPr>
      </w:pPr>
      <w:r w:rsidRPr="002302B0">
        <w:rPr>
          <w:rFonts w:asciiTheme="majorHAnsi" w:hAnsiTheme="majorHAnsi" w:cstheme="majorHAnsi"/>
          <w:sz w:val="22"/>
          <w:lang w:val="cs-CZ"/>
        </w:rPr>
        <w:t>Připravované investice do MŠ a ZŠ v ORP Černošice („velké investice“, nové kapacity)</w:t>
      </w:r>
    </w:p>
    <w:tbl>
      <w:tblPr>
        <w:tblW w:w="9209" w:type="dxa"/>
        <w:tblCellMar>
          <w:left w:w="70" w:type="dxa"/>
          <w:right w:w="70" w:type="dxa"/>
        </w:tblCellMar>
        <w:tblLook w:val="04A0" w:firstRow="1" w:lastRow="0" w:firstColumn="1" w:lastColumn="0" w:noHBand="0" w:noVBand="1"/>
      </w:tblPr>
      <w:tblGrid>
        <w:gridCol w:w="1880"/>
        <w:gridCol w:w="4358"/>
        <w:gridCol w:w="2971"/>
      </w:tblGrid>
      <w:tr w:rsidR="000D09F7" w:rsidRPr="009100AF" w:rsidTr="00FD5A93">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9F7" w:rsidRPr="002302B0" w:rsidRDefault="000D09F7" w:rsidP="00FD2E39">
            <w:pPr>
              <w:rPr>
                <w:b/>
                <w:bCs/>
                <w:sz w:val="20"/>
              </w:rPr>
            </w:pPr>
            <w:r w:rsidRPr="002302B0">
              <w:rPr>
                <w:b/>
                <w:bCs/>
                <w:sz w:val="20"/>
              </w:rPr>
              <w:t>Obec</w:t>
            </w:r>
          </w:p>
        </w:tc>
        <w:tc>
          <w:tcPr>
            <w:tcW w:w="4358" w:type="dxa"/>
            <w:tcBorders>
              <w:top w:val="single" w:sz="4" w:space="0" w:color="auto"/>
              <w:left w:val="nil"/>
              <w:bottom w:val="single" w:sz="4" w:space="0" w:color="auto"/>
              <w:right w:val="single" w:sz="4" w:space="0" w:color="auto"/>
            </w:tcBorders>
            <w:vAlign w:val="center"/>
          </w:tcPr>
          <w:p w:rsidR="000D09F7" w:rsidRPr="002302B0" w:rsidRDefault="000D09F7" w:rsidP="00FD2E39">
            <w:pPr>
              <w:rPr>
                <w:b/>
                <w:bCs/>
                <w:sz w:val="20"/>
              </w:rPr>
            </w:pPr>
            <w:r w:rsidRPr="002302B0">
              <w:rPr>
                <w:b/>
                <w:bCs/>
                <w:sz w:val="20"/>
              </w:rPr>
              <w:t>Popis záměru</w:t>
            </w:r>
          </w:p>
        </w:tc>
        <w:tc>
          <w:tcPr>
            <w:tcW w:w="2971" w:type="dxa"/>
            <w:tcBorders>
              <w:top w:val="single" w:sz="4" w:space="0" w:color="auto"/>
              <w:left w:val="nil"/>
              <w:bottom w:val="single" w:sz="4" w:space="0" w:color="auto"/>
              <w:right w:val="single" w:sz="4" w:space="0" w:color="auto"/>
            </w:tcBorders>
            <w:vAlign w:val="center"/>
          </w:tcPr>
          <w:p w:rsidR="000D09F7" w:rsidRPr="002302B0" w:rsidRDefault="000D09F7" w:rsidP="00FD2E39">
            <w:pPr>
              <w:rPr>
                <w:b/>
                <w:bCs/>
                <w:sz w:val="20"/>
              </w:rPr>
            </w:pPr>
            <w:r w:rsidRPr="002302B0">
              <w:rPr>
                <w:b/>
                <w:bCs/>
                <w:sz w:val="20"/>
              </w:rPr>
              <w:t>Náklady (mil. Kč)</w:t>
            </w:r>
            <w:r>
              <w:rPr>
                <w:b/>
                <w:bCs/>
                <w:sz w:val="20"/>
              </w:rPr>
              <w:t xml:space="preserve"> - odhad</w:t>
            </w:r>
          </w:p>
        </w:tc>
      </w:tr>
      <w:tr w:rsidR="000D09F7" w:rsidRPr="00C16226" w:rsidTr="00FD5A93">
        <w:trPr>
          <w:trHeight w:val="30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0D09F7" w:rsidRPr="002302B0" w:rsidRDefault="000D09F7" w:rsidP="002302B0">
            <w:pPr>
              <w:rPr>
                <w:b/>
                <w:sz w:val="20"/>
              </w:rPr>
            </w:pPr>
            <w:r w:rsidRPr="002302B0">
              <w:rPr>
                <w:b/>
                <w:sz w:val="20"/>
              </w:rPr>
              <w:t>Základní školy</w:t>
            </w:r>
          </w:p>
        </w:tc>
        <w:tc>
          <w:tcPr>
            <w:tcW w:w="4358" w:type="dxa"/>
            <w:tcBorders>
              <w:top w:val="single" w:sz="4" w:space="0" w:color="auto"/>
              <w:left w:val="nil"/>
              <w:bottom w:val="single" w:sz="4" w:space="0" w:color="auto"/>
              <w:right w:val="single" w:sz="4" w:space="0" w:color="auto"/>
            </w:tcBorders>
            <w:vAlign w:val="center"/>
          </w:tcPr>
          <w:p w:rsidR="000D09F7" w:rsidRPr="002302B0" w:rsidRDefault="000D09F7" w:rsidP="002302B0">
            <w:pPr>
              <w:rPr>
                <w:b/>
                <w:sz w:val="20"/>
              </w:rPr>
            </w:pPr>
          </w:p>
        </w:tc>
        <w:tc>
          <w:tcPr>
            <w:tcW w:w="2971" w:type="dxa"/>
            <w:tcBorders>
              <w:top w:val="single" w:sz="4" w:space="0" w:color="auto"/>
              <w:left w:val="nil"/>
              <w:bottom w:val="single" w:sz="4" w:space="0" w:color="auto"/>
              <w:right w:val="single" w:sz="4" w:space="0" w:color="auto"/>
            </w:tcBorders>
            <w:vAlign w:val="center"/>
          </w:tcPr>
          <w:p w:rsidR="000D09F7" w:rsidRPr="002302B0" w:rsidRDefault="000D09F7" w:rsidP="002302B0">
            <w:pPr>
              <w:ind w:right="113"/>
              <w:rPr>
                <w:b/>
                <w:sz w:val="20"/>
              </w:rPr>
            </w:pPr>
          </w:p>
        </w:tc>
      </w:tr>
      <w:tr w:rsidR="000D09F7" w:rsidRPr="00954376" w:rsidTr="00FD5A93">
        <w:trPr>
          <w:trHeight w:val="30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0D09F7" w:rsidRPr="002302B0" w:rsidRDefault="000D09F7" w:rsidP="002302B0">
            <w:r w:rsidRPr="002302B0">
              <w:t>Chýně-Hostivice</w:t>
            </w:r>
          </w:p>
        </w:tc>
        <w:tc>
          <w:tcPr>
            <w:tcW w:w="4358" w:type="dxa"/>
            <w:tcBorders>
              <w:top w:val="single" w:sz="4" w:space="0" w:color="auto"/>
              <w:left w:val="nil"/>
              <w:bottom w:val="single" w:sz="4" w:space="0" w:color="auto"/>
              <w:right w:val="single" w:sz="4" w:space="0" w:color="auto"/>
            </w:tcBorders>
            <w:vAlign w:val="center"/>
          </w:tcPr>
          <w:p w:rsidR="000D09F7" w:rsidRPr="002302B0" w:rsidRDefault="000D09F7" w:rsidP="002302B0">
            <w:r w:rsidRPr="002302B0">
              <w:t>Nová svazková ZŠ, 3x 9 tříd</w:t>
            </w:r>
          </w:p>
        </w:tc>
        <w:tc>
          <w:tcPr>
            <w:tcW w:w="2971" w:type="dxa"/>
            <w:tcBorders>
              <w:top w:val="single" w:sz="4" w:space="0" w:color="auto"/>
              <w:left w:val="nil"/>
              <w:bottom w:val="single" w:sz="4" w:space="0" w:color="auto"/>
              <w:right w:val="single" w:sz="4" w:space="0" w:color="auto"/>
            </w:tcBorders>
            <w:vAlign w:val="center"/>
          </w:tcPr>
          <w:p w:rsidR="000D09F7" w:rsidRPr="002302B0" w:rsidRDefault="000D09F7" w:rsidP="002302B0">
            <w:pPr>
              <w:ind w:right="113"/>
            </w:pPr>
            <w:r w:rsidRPr="002302B0">
              <w:t>632</w:t>
            </w:r>
          </w:p>
        </w:tc>
      </w:tr>
      <w:tr w:rsidR="000D09F7" w:rsidRPr="00954376" w:rsidTr="00FD5A93">
        <w:trPr>
          <w:trHeight w:val="30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0D09F7" w:rsidRPr="002302B0" w:rsidRDefault="000D09F7" w:rsidP="002302B0">
            <w:r w:rsidRPr="002302B0">
              <w:t>Drahelčice</w:t>
            </w:r>
          </w:p>
        </w:tc>
        <w:tc>
          <w:tcPr>
            <w:tcW w:w="4358" w:type="dxa"/>
            <w:tcBorders>
              <w:top w:val="single" w:sz="4" w:space="0" w:color="auto"/>
              <w:left w:val="nil"/>
              <w:bottom w:val="single" w:sz="4" w:space="0" w:color="auto"/>
              <w:right w:val="single" w:sz="4" w:space="0" w:color="auto"/>
            </w:tcBorders>
            <w:vAlign w:val="center"/>
          </w:tcPr>
          <w:p w:rsidR="000D09F7" w:rsidRPr="002302B0" w:rsidRDefault="000D09F7" w:rsidP="002302B0">
            <w:r w:rsidRPr="002302B0">
              <w:t>Nová svazková ZŠ, 2 x 9 tříd</w:t>
            </w:r>
          </w:p>
        </w:tc>
        <w:tc>
          <w:tcPr>
            <w:tcW w:w="2971" w:type="dxa"/>
            <w:tcBorders>
              <w:top w:val="single" w:sz="4" w:space="0" w:color="auto"/>
              <w:left w:val="nil"/>
              <w:bottom w:val="single" w:sz="4" w:space="0" w:color="auto"/>
              <w:right w:val="single" w:sz="4" w:space="0" w:color="auto"/>
            </w:tcBorders>
            <w:vAlign w:val="center"/>
          </w:tcPr>
          <w:p w:rsidR="000D09F7" w:rsidRPr="002302B0" w:rsidRDefault="000D09F7" w:rsidP="002302B0">
            <w:pPr>
              <w:ind w:right="113"/>
            </w:pPr>
            <w:r w:rsidRPr="002302B0">
              <w:t>600</w:t>
            </w:r>
          </w:p>
        </w:tc>
      </w:tr>
      <w:tr w:rsidR="000D09F7" w:rsidRPr="00954376" w:rsidTr="00FD5A93">
        <w:trPr>
          <w:trHeight w:val="30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0D09F7" w:rsidRPr="002302B0" w:rsidRDefault="000D09F7" w:rsidP="002302B0">
            <w:r w:rsidRPr="002302B0">
              <w:t>Zvole</w:t>
            </w:r>
          </w:p>
        </w:tc>
        <w:tc>
          <w:tcPr>
            <w:tcW w:w="4358" w:type="dxa"/>
            <w:tcBorders>
              <w:top w:val="single" w:sz="4" w:space="0" w:color="auto"/>
              <w:left w:val="nil"/>
              <w:bottom w:val="single" w:sz="4" w:space="0" w:color="auto"/>
              <w:right w:val="single" w:sz="4" w:space="0" w:color="auto"/>
            </w:tcBorders>
            <w:vAlign w:val="center"/>
          </w:tcPr>
          <w:p w:rsidR="000D09F7" w:rsidRPr="002302B0" w:rsidRDefault="000D09F7" w:rsidP="002302B0">
            <w:r w:rsidRPr="002302B0">
              <w:t xml:space="preserve">Nová svazková ZŠ 2x9 tříd </w:t>
            </w:r>
          </w:p>
        </w:tc>
        <w:tc>
          <w:tcPr>
            <w:tcW w:w="2971" w:type="dxa"/>
            <w:tcBorders>
              <w:top w:val="single" w:sz="4" w:space="0" w:color="auto"/>
              <w:left w:val="nil"/>
              <w:bottom w:val="single" w:sz="4" w:space="0" w:color="auto"/>
              <w:right w:val="single" w:sz="4" w:space="0" w:color="auto"/>
            </w:tcBorders>
            <w:vAlign w:val="center"/>
          </w:tcPr>
          <w:p w:rsidR="000D09F7" w:rsidRPr="002302B0" w:rsidRDefault="000D09F7" w:rsidP="002302B0">
            <w:pPr>
              <w:ind w:right="113"/>
            </w:pPr>
            <w:r w:rsidRPr="002302B0">
              <w:t>600</w:t>
            </w:r>
          </w:p>
        </w:tc>
      </w:tr>
      <w:tr w:rsidR="000D09F7" w:rsidRPr="00954376" w:rsidTr="00FD5A93">
        <w:trPr>
          <w:trHeight w:val="30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0D09F7" w:rsidRPr="002302B0" w:rsidRDefault="000D09F7" w:rsidP="002302B0">
            <w:r w:rsidRPr="002302B0">
              <w:t>Jílové u Prahy</w:t>
            </w:r>
          </w:p>
        </w:tc>
        <w:tc>
          <w:tcPr>
            <w:tcW w:w="4358" w:type="dxa"/>
            <w:tcBorders>
              <w:top w:val="single" w:sz="4" w:space="0" w:color="auto"/>
              <w:left w:val="nil"/>
              <w:bottom w:val="single" w:sz="4" w:space="0" w:color="auto"/>
              <w:right w:val="single" w:sz="4" w:space="0" w:color="auto"/>
            </w:tcBorders>
            <w:vAlign w:val="center"/>
          </w:tcPr>
          <w:p w:rsidR="000D09F7" w:rsidRPr="002302B0" w:rsidRDefault="000D09F7" w:rsidP="002302B0">
            <w:r w:rsidRPr="002302B0">
              <w:t xml:space="preserve">Novostavba ZŠ/MŠ v části </w:t>
            </w:r>
            <w:proofErr w:type="spellStart"/>
            <w:r w:rsidRPr="002302B0">
              <w:t>Radlík</w:t>
            </w:r>
            <w:proofErr w:type="spellEnd"/>
            <w:r w:rsidRPr="002302B0">
              <w:t>, 540 žáků</w:t>
            </w:r>
          </w:p>
        </w:tc>
        <w:tc>
          <w:tcPr>
            <w:tcW w:w="2971" w:type="dxa"/>
            <w:tcBorders>
              <w:top w:val="single" w:sz="4" w:space="0" w:color="auto"/>
              <w:left w:val="nil"/>
              <w:bottom w:val="single" w:sz="4" w:space="0" w:color="auto"/>
              <w:right w:val="single" w:sz="4" w:space="0" w:color="auto"/>
            </w:tcBorders>
            <w:vAlign w:val="center"/>
          </w:tcPr>
          <w:p w:rsidR="000D09F7" w:rsidRPr="002302B0" w:rsidRDefault="000D09F7" w:rsidP="002302B0">
            <w:pPr>
              <w:ind w:right="113"/>
            </w:pPr>
            <w:r w:rsidRPr="002302B0">
              <w:t>300</w:t>
            </w:r>
          </w:p>
        </w:tc>
      </w:tr>
      <w:tr w:rsidR="000D09F7" w:rsidRPr="00954376" w:rsidTr="00FD5A93">
        <w:trPr>
          <w:trHeight w:val="300"/>
        </w:trPr>
        <w:tc>
          <w:tcPr>
            <w:tcW w:w="1880" w:type="dxa"/>
            <w:tcBorders>
              <w:top w:val="nil"/>
              <w:left w:val="single" w:sz="4" w:space="0" w:color="auto"/>
              <w:bottom w:val="single" w:sz="4" w:space="0" w:color="auto"/>
              <w:right w:val="single" w:sz="4" w:space="0" w:color="auto"/>
            </w:tcBorders>
            <w:shd w:val="clear" w:color="auto" w:fill="auto"/>
            <w:vAlign w:val="center"/>
            <w:hideMark/>
          </w:tcPr>
          <w:p w:rsidR="000D09F7" w:rsidRPr="002302B0" w:rsidRDefault="000D09F7" w:rsidP="002302B0">
            <w:r w:rsidRPr="002302B0">
              <w:t>Mníšek pod Brdy</w:t>
            </w:r>
          </w:p>
        </w:tc>
        <w:tc>
          <w:tcPr>
            <w:tcW w:w="4358" w:type="dxa"/>
            <w:tcBorders>
              <w:top w:val="single" w:sz="4" w:space="0" w:color="auto"/>
              <w:left w:val="nil"/>
              <w:bottom w:val="single" w:sz="4" w:space="0" w:color="auto"/>
              <w:right w:val="single" w:sz="4" w:space="0" w:color="auto"/>
            </w:tcBorders>
            <w:vAlign w:val="center"/>
          </w:tcPr>
          <w:p w:rsidR="000D09F7" w:rsidRPr="002302B0" w:rsidRDefault="000D09F7" w:rsidP="002302B0">
            <w:r w:rsidRPr="002302B0">
              <w:t>Nová svazková ZŠ pod Skalkou, 2x 9 tříd</w:t>
            </w:r>
          </w:p>
        </w:tc>
        <w:tc>
          <w:tcPr>
            <w:tcW w:w="2971" w:type="dxa"/>
            <w:tcBorders>
              <w:top w:val="single" w:sz="4" w:space="0" w:color="auto"/>
              <w:left w:val="nil"/>
              <w:bottom w:val="single" w:sz="4" w:space="0" w:color="auto"/>
              <w:right w:val="single" w:sz="4" w:space="0" w:color="auto"/>
            </w:tcBorders>
            <w:vAlign w:val="center"/>
          </w:tcPr>
          <w:p w:rsidR="000D09F7" w:rsidRPr="002302B0" w:rsidRDefault="000D09F7" w:rsidP="002302B0">
            <w:pPr>
              <w:ind w:right="113"/>
            </w:pPr>
            <w:r w:rsidRPr="002302B0">
              <w:t>800</w:t>
            </w:r>
          </w:p>
        </w:tc>
      </w:tr>
      <w:tr w:rsidR="000D09F7" w:rsidRPr="00954376" w:rsidTr="00FD5A93">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9F7" w:rsidRPr="000272E4" w:rsidRDefault="000D09F7" w:rsidP="002302B0">
            <w:r w:rsidRPr="000272E4">
              <w:t>Zbuzany</w:t>
            </w:r>
          </w:p>
        </w:tc>
        <w:tc>
          <w:tcPr>
            <w:tcW w:w="4358" w:type="dxa"/>
            <w:tcBorders>
              <w:top w:val="single" w:sz="4" w:space="0" w:color="auto"/>
              <w:left w:val="nil"/>
              <w:bottom w:val="single" w:sz="4" w:space="0" w:color="auto"/>
              <w:right w:val="single" w:sz="4" w:space="0" w:color="auto"/>
            </w:tcBorders>
            <w:vAlign w:val="center"/>
          </w:tcPr>
          <w:p w:rsidR="000D09F7" w:rsidRPr="000272E4" w:rsidRDefault="000D09F7" w:rsidP="002302B0">
            <w:r w:rsidRPr="000272E4">
              <w:t>Nová svazková ZŠ 2x9 tříd</w:t>
            </w:r>
          </w:p>
        </w:tc>
        <w:tc>
          <w:tcPr>
            <w:tcW w:w="2971" w:type="dxa"/>
            <w:tcBorders>
              <w:top w:val="single" w:sz="4" w:space="0" w:color="auto"/>
              <w:left w:val="nil"/>
              <w:bottom w:val="single" w:sz="4" w:space="0" w:color="auto"/>
              <w:right w:val="single" w:sz="4" w:space="0" w:color="auto"/>
            </w:tcBorders>
            <w:vAlign w:val="center"/>
          </w:tcPr>
          <w:p w:rsidR="000D09F7" w:rsidRPr="000272E4" w:rsidRDefault="000D09F7" w:rsidP="002302B0">
            <w:pPr>
              <w:ind w:right="113"/>
            </w:pPr>
            <w:r w:rsidRPr="000272E4">
              <w:t>800</w:t>
            </w:r>
          </w:p>
        </w:tc>
      </w:tr>
      <w:tr w:rsidR="000D09F7" w:rsidRPr="00954376" w:rsidTr="00FD5A93">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D09F7" w:rsidRPr="000272E4" w:rsidRDefault="000D09F7" w:rsidP="002302B0">
            <w:r w:rsidRPr="000272E4">
              <w:lastRenderedPageBreak/>
              <w:t>Holubice</w:t>
            </w:r>
          </w:p>
        </w:tc>
        <w:tc>
          <w:tcPr>
            <w:tcW w:w="4358" w:type="dxa"/>
            <w:tcBorders>
              <w:top w:val="single" w:sz="4" w:space="0" w:color="auto"/>
              <w:left w:val="nil"/>
              <w:bottom w:val="single" w:sz="4" w:space="0" w:color="auto"/>
              <w:right w:val="single" w:sz="4" w:space="0" w:color="auto"/>
            </w:tcBorders>
            <w:vAlign w:val="center"/>
          </w:tcPr>
          <w:p w:rsidR="000D09F7" w:rsidRPr="000272E4" w:rsidRDefault="000D09F7" w:rsidP="002302B0">
            <w:r w:rsidRPr="000272E4">
              <w:t>Přístavba 2. st, +4x30ž</w:t>
            </w:r>
          </w:p>
        </w:tc>
        <w:tc>
          <w:tcPr>
            <w:tcW w:w="2971" w:type="dxa"/>
            <w:tcBorders>
              <w:top w:val="single" w:sz="4" w:space="0" w:color="auto"/>
              <w:left w:val="nil"/>
              <w:bottom w:val="single" w:sz="4" w:space="0" w:color="auto"/>
              <w:right w:val="single" w:sz="4" w:space="0" w:color="auto"/>
            </w:tcBorders>
            <w:vAlign w:val="center"/>
          </w:tcPr>
          <w:p w:rsidR="000D09F7" w:rsidRPr="000272E4" w:rsidRDefault="000D09F7" w:rsidP="002302B0">
            <w:pPr>
              <w:ind w:right="113"/>
            </w:pPr>
            <w:r w:rsidRPr="000272E4">
              <w:t>200</w:t>
            </w:r>
          </w:p>
        </w:tc>
      </w:tr>
      <w:tr w:rsidR="000D09F7" w:rsidRPr="00954376" w:rsidTr="00FD5A93">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D09F7" w:rsidRPr="000272E4" w:rsidRDefault="000D09F7" w:rsidP="002302B0">
            <w:r w:rsidRPr="000272E4">
              <w:t>Horoměřice</w:t>
            </w:r>
          </w:p>
        </w:tc>
        <w:tc>
          <w:tcPr>
            <w:tcW w:w="4358" w:type="dxa"/>
            <w:tcBorders>
              <w:top w:val="single" w:sz="4" w:space="0" w:color="auto"/>
              <w:left w:val="nil"/>
              <w:bottom w:val="single" w:sz="4" w:space="0" w:color="auto"/>
              <w:right w:val="single" w:sz="4" w:space="0" w:color="auto"/>
            </w:tcBorders>
            <w:vAlign w:val="center"/>
          </w:tcPr>
          <w:p w:rsidR="000D09F7" w:rsidRPr="000272E4" w:rsidRDefault="000D09F7" w:rsidP="002302B0">
            <w:r w:rsidRPr="000272E4">
              <w:t>Nová svazková ZŠ, 2x9 tříd</w:t>
            </w:r>
          </w:p>
        </w:tc>
        <w:tc>
          <w:tcPr>
            <w:tcW w:w="2971" w:type="dxa"/>
            <w:tcBorders>
              <w:top w:val="single" w:sz="4" w:space="0" w:color="auto"/>
              <w:left w:val="nil"/>
              <w:bottom w:val="single" w:sz="4" w:space="0" w:color="auto"/>
              <w:right w:val="single" w:sz="4" w:space="0" w:color="auto"/>
            </w:tcBorders>
            <w:vAlign w:val="center"/>
          </w:tcPr>
          <w:p w:rsidR="000D09F7" w:rsidRPr="000272E4" w:rsidRDefault="000D09F7" w:rsidP="002302B0">
            <w:pPr>
              <w:ind w:right="113"/>
            </w:pPr>
            <w:r w:rsidRPr="000272E4">
              <w:t>700</w:t>
            </w:r>
          </w:p>
        </w:tc>
      </w:tr>
      <w:tr w:rsidR="000D09F7" w:rsidRPr="00C16226" w:rsidTr="00FD5A93">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9F7" w:rsidRPr="002302B0" w:rsidRDefault="000D09F7" w:rsidP="002302B0">
            <w:pPr>
              <w:rPr>
                <w:rFonts w:asciiTheme="majorHAnsi" w:hAnsiTheme="majorHAnsi" w:cstheme="majorHAnsi"/>
                <w:b/>
              </w:rPr>
            </w:pPr>
            <w:r w:rsidRPr="002302B0">
              <w:rPr>
                <w:rFonts w:asciiTheme="majorHAnsi" w:hAnsiTheme="majorHAnsi" w:cstheme="majorHAnsi"/>
                <w:b/>
              </w:rPr>
              <w:t>Mateřské školy</w:t>
            </w:r>
          </w:p>
        </w:tc>
        <w:tc>
          <w:tcPr>
            <w:tcW w:w="4358" w:type="dxa"/>
            <w:tcBorders>
              <w:top w:val="single" w:sz="4" w:space="0" w:color="auto"/>
              <w:left w:val="nil"/>
              <w:bottom w:val="single" w:sz="4" w:space="0" w:color="auto"/>
              <w:right w:val="single" w:sz="4" w:space="0" w:color="auto"/>
            </w:tcBorders>
            <w:vAlign w:val="center"/>
          </w:tcPr>
          <w:p w:rsidR="000D09F7" w:rsidRPr="002302B0" w:rsidRDefault="000D09F7" w:rsidP="002302B0">
            <w:pPr>
              <w:rPr>
                <w:rFonts w:asciiTheme="majorHAnsi" w:hAnsiTheme="majorHAnsi" w:cstheme="majorHAnsi"/>
                <w:b/>
              </w:rPr>
            </w:pPr>
          </w:p>
        </w:tc>
        <w:tc>
          <w:tcPr>
            <w:tcW w:w="2971" w:type="dxa"/>
            <w:tcBorders>
              <w:top w:val="single" w:sz="4" w:space="0" w:color="auto"/>
              <w:left w:val="nil"/>
              <w:bottom w:val="single" w:sz="4" w:space="0" w:color="auto"/>
              <w:right w:val="single" w:sz="4" w:space="0" w:color="auto"/>
            </w:tcBorders>
            <w:vAlign w:val="center"/>
          </w:tcPr>
          <w:p w:rsidR="000D09F7" w:rsidRPr="002302B0" w:rsidRDefault="000D09F7" w:rsidP="002302B0">
            <w:pPr>
              <w:ind w:right="113"/>
              <w:rPr>
                <w:rFonts w:asciiTheme="majorHAnsi" w:hAnsiTheme="majorHAnsi" w:cstheme="majorHAnsi"/>
                <w:b/>
              </w:rPr>
            </w:pPr>
          </w:p>
        </w:tc>
      </w:tr>
      <w:tr w:rsidR="000D09F7" w:rsidRPr="00954376" w:rsidTr="00FD5A93">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9F7" w:rsidRPr="000272E4" w:rsidRDefault="000D09F7" w:rsidP="002302B0">
            <w:r w:rsidRPr="000272E4">
              <w:t>Jílové u Prahy</w:t>
            </w:r>
          </w:p>
        </w:tc>
        <w:tc>
          <w:tcPr>
            <w:tcW w:w="4358" w:type="dxa"/>
            <w:tcBorders>
              <w:top w:val="single" w:sz="4" w:space="0" w:color="auto"/>
              <w:left w:val="nil"/>
              <w:bottom w:val="single" w:sz="4" w:space="0" w:color="auto"/>
              <w:right w:val="single" w:sz="4" w:space="0" w:color="auto"/>
            </w:tcBorders>
            <w:vAlign w:val="center"/>
          </w:tcPr>
          <w:p w:rsidR="000D09F7" w:rsidRPr="000272E4" w:rsidRDefault="000D09F7" w:rsidP="002302B0">
            <w:r w:rsidRPr="000272E4">
              <w:t>Nová MŠ/ZŠ; 4x 28 dětí</w:t>
            </w:r>
          </w:p>
        </w:tc>
        <w:tc>
          <w:tcPr>
            <w:tcW w:w="2971" w:type="dxa"/>
            <w:tcBorders>
              <w:top w:val="single" w:sz="4" w:space="0" w:color="auto"/>
              <w:left w:val="nil"/>
              <w:bottom w:val="single" w:sz="4" w:space="0" w:color="auto"/>
              <w:right w:val="single" w:sz="4" w:space="0" w:color="auto"/>
            </w:tcBorders>
            <w:vAlign w:val="center"/>
          </w:tcPr>
          <w:p w:rsidR="000D09F7" w:rsidRPr="000272E4" w:rsidRDefault="000D09F7" w:rsidP="002302B0">
            <w:pPr>
              <w:ind w:right="113"/>
            </w:pPr>
            <w:r w:rsidRPr="000272E4">
              <w:t>300</w:t>
            </w:r>
          </w:p>
        </w:tc>
      </w:tr>
      <w:tr w:rsidR="000D09F7" w:rsidRPr="00954376" w:rsidTr="00FD5A93">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D09F7" w:rsidRPr="000272E4" w:rsidRDefault="000D09F7" w:rsidP="002302B0">
            <w:r w:rsidRPr="000272E4">
              <w:t>Hostivice</w:t>
            </w:r>
          </w:p>
        </w:tc>
        <w:tc>
          <w:tcPr>
            <w:tcW w:w="4358" w:type="dxa"/>
            <w:tcBorders>
              <w:top w:val="single" w:sz="4" w:space="0" w:color="auto"/>
              <w:left w:val="nil"/>
              <w:bottom w:val="single" w:sz="4" w:space="0" w:color="auto"/>
              <w:right w:val="single" w:sz="4" w:space="0" w:color="auto"/>
            </w:tcBorders>
            <w:vAlign w:val="center"/>
          </w:tcPr>
          <w:p w:rsidR="000D09F7" w:rsidRPr="000272E4" w:rsidRDefault="000D09F7" w:rsidP="002302B0">
            <w:r w:rsidRPr="000272E4">
              <w:t xml:space="preserve">Nová MŠ </w:t>
            </w:r>
            <w:proofErr w:type="spellStart"/>
            <w:r w:rsidRPr="000272E4">
              <w:t>Jeneček</w:t>
            </w:r>
            <w:proofErr w:type="spellEnd"/>
            <w:r w:rsidRPr="000272E4">
              <w:t xml:space="preserve"> </w:t>
            </w:r>
          </w:p>
        </w:tc>
        <w:tc>
          <w:tcPr>
            <w:tcW w:w="2971" w:type="dxa"/>
            <w:tcBorders>
              <w:top w:val="single" w:sz="4" w:space="0" w:color="auto"/>
              <w:left w:val="nil"/>
              <w:bottom w:val="single" w:sz="4" w:space="0" w:color="auto"/>
              <w:right w:val="single" w:sz="4" w:space="0" w:color="auto"/>
            </w:tcBorders>
            <w:vAlign w:val="center"/>
          </w:tcPr>
          <w:p w:rsidR="000D09F7" w:rsidRPr="000272E4" w:rsidRDefault="000D09F7" w:rsidP="002302B0">
            <w:pPr>
              <w:ind w:right="113"/>
            </w:pPr>
            <w:r w:rsidRPr="000272E4">
              <w:t>60</w:t>
            </w:r>
          </w:p>
        </w:tc>
      </w:tr>
      <w:tr w:rsidR="000D09F7" w:rsidRPr="00954376" w:rsidTr="00FD5A93">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9F7" w:rsidRPr="000272E4" w:rsidRDefault="000D09F7" w:rsidP="002302B0">
            <w:r w:rsidRPr="000272E4">
              <w:t>Jesenice</w:t>
            </w:r>
          </w:p>
        </w:tc>
        <w:tc>
          <w:tcPr>
            <w:tcW w:w="4358" w:type="dxa"/>
            <w:tcBorders>
              <w:top w:val="single" w:sz="4" w:space="0" w:color="auto"/>
              <w:left w:val="nil"/>
              <w:bottom w:val="single" w:sz="4" w:space="0" w:color="auto"/>
              <w:right w:val="single" w:sz="4" w:space="0" w:color="auto"/>
            </w:tcBorders>
            <w:vAlign w:val="center"/>
          </w:tcPr>
          <w:p w:rsidR="000D09F7" w:rsidRPr="000272E4" w:rsidRDefault="000D09F7" w:rsidP="002302B0">
            <w:r w:rsidRPr="000272E4">
              <w:t>Nová MŠ – Osnice</w:t>
            </w:r>
          </w:p>
        </w:tc>
        <w:tc>
          <w:tcPr>
            <w:tcW w:w="2971" w:type="dxa"/>
            <w:tcBorders>
              <w:top w:val="single" w:sz="4" w:space="0" w:color="auto"/>
              <w:left w:val="nil"/>
              <w:bottom w:val="single" w:sz="4" w:space="0" w:color="auto"/>
              <w:right w:val="single" w:sz="4" w:space="0" w:color="auto"/>
            </w:tcBorders>
            <w:vAlign w:val="center"/>
          </w:tcPr>
          <w:p w:rsidR="000D09F7" w:rsidRPr="000272E4" w:rsidRDefault="000D09F7" w:rsidP="002302B0">
            <w:pPr>
              <w:ind w:right="113"/>
            </w:pPr>
            <w:r w:rsidRPr="000272E4">
              <w:t>85</w:t>
            </w:r>
          </w:p>
        </w:tc>
      </w:tr>
      <w:tr w:rsidR="000D09F7" w:rsidRPr="00954376" w:rsidTr="00FD5A93">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D09F7" w:rsidRPr="000272E4" w:rsidRDefault="000D09F7" w:rsidP="002302B0">
            <w:r w:rsidRPr="000272E4">
              <w:t>Řevnice</w:t>
            </w:r>
          </w:p>
        </w:tc>
        <w:tc>
          <w:tcPr>
            <w:tcW w:w="4358" w:type="dxa"/>
            <w:tcBorders>
              <w:top w:val="single" w:sz="4" w:space="0" w:color="auto"/>
              <w:left w:val="nil"/>
              <w:bottom w:val="single" w:sz="4" w:space="0" w:color="auto"/>
              <w:right w:val="single" w:sz="4" w:space="0" w:color="auto"/>
            </w:tcBorders>
            <w:vAlign w:val="center"/>
          </w:tcPr>
          <w:p w:rsidR="000D09F7" w:rsidRPr="000272E4" w:rsidRDefault="000D09F7" w:rsidP="002302B0">
            <w:r w:rsidRPr="000272E4">
              <w:t>Navýšení kapacit</w:t>
            </w:r>
          </w:p>
        </w:tc>
        <w:tc>
          <w:tcPr>
            <w:tcW w:w="2971" w:type="dxa"/>
            <w:tcBorders>
              <w:top w:val="single" w:sz="4" w:space="0" w:color="auto"/>
              <w:left w:val="nil"/>
              <w:bottom w:val="single" w:sz="4" w:space="0" w:color="auto"/>
              <w:right w:val="single" w:sz="4" w:space="0" w:color="auto"/>
            </w:tcBorders>
            <w:vAlign w:val="center"/>
          </w:tcPr>
          <w:p w:rsidR="000D09F7" w:rsidRPr="000272E4" w:rsidRDefault="000D09F7" w:rsidP="002302B0">
            <w:pPr>
              <w:ind w:right="113"/>
            </w:pPr>
            <w:r w:rsidRPr="000272E4">
              <w:t>50</w:t>
            </w:r>
          </w:p>
        </w:tc>
      </w:tr>
      <w:tr w:rsidR="000D09F7" w:rsidRPr="00954376" w:rsidTr="00FD5A93">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09F7" w:rsidRPr="000272E4" w:rsidRDefault="000D09F7" w:rsidP="002302B0">
            <w:r w:rsidRPr="000272E4">
              <w:t>Dolní Břežany</w:t>
            </w:r>
          </w:p>
        </w:tc>
        <w:tc>
          <w:tcPr>
            <w:tcW w:w="4358" w:type="dxa"/>
            <w:tcBorders>
              <w:top w:val="single" w:sz="4" w:space="0" w:color="auto"/>
              <w:left w:val="nil"/>
              <w:bottom w:val="single" w:sz="4" w:space="0" w:color="auto"/>
              <w:right w:val="single" w:sz="4" w:space="0" w:color="auto"/>
            </w:tcBorders>
            <w:vAlign w:val="center"/>
          </w:tcPr>
          <w:p w:rsidR="000D09F7" w:rsidRPr="000272E4" w:rsidRDefault="000D09F7" w:rsidP="002302B0">
            <w:r w:rsidRPr="000272E4">
              <w:t>Nová MŠ – Lhota</w:t>
            </w:r>
          </w:p>
        </w:tc>
        <w:tc>
          <w:tcPr>
            <w:tcW w:w="2971" w:type="dxa"/>
            <w:tcBorders>
              <w:top w:val="single" w:sz="4" w:space="0" w:color="auto"/>
              <w:left w:val="nil"/>
              <w:bottom w:val="single" w:sz="4" w:space="0" w:color="auto"/>
              <w:right w:val="single" w:sz="4" w:space="0" w:color="auto"/>
            </w:tcBorders>
            <w:vAlign w:val="center"/>
          </w:tcPr>
          <w:p w:rsidR="000D09F7" w:rsidRPr="000272E4" w:rsidRDefault="000D09F7" w:rsidP="002302B0">
            <w:pPr>
              <w:ind w:right="113"/>
            </w:pPr>
            <w:r w:rsidRPr="000272E4">
              <w:t>100</w:t>
            </w:r>
          </w:p>
        </w:tc>
      </w:tr>
      <w:tr w:rsidR="000D09F7" w:rsidRPr="00954376" w:rsidTr="00FD5A93">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D09F7" w:rsidRPr="000272E4" w:rsidRDefault="000D09F7" w:rsidP="002302B0">
            <w:r w:rsidRPr="000272E4">
              <w:t>Chrášťany</w:t>
            </w:r>
          </w:p>
        </w:tc>
        <w:tc>
          <w:tcPr>
            <w:tcW w:w="4358" w:type="dxa"/>
            <w:tcBorders>
              <w:top w:val="single" w:sz="4" w:space="0" w:color="auto"/>
              <w:left w:val="nil"/>
              <w:bottom w:val="single" w:sz="4" w:space="0" w:color="auto"/>
              <w:right w:val="single" w:sz="4" w:space="0" w:color="auto"/>
            </w:tcBorders>
            <w:vAlign w:val="center"/>
          </w:tcPr>
          <w:p w:rsidR="000D09F7" w:rsidRPr="000272E4" w:rsidRDefault="000D09F7" w:rsidP="002302B0">
            <w:r w:rsidRPr="000272E4">
              <w:t>Nová budova</w:t>
            </w:r>
          </w:p>
        </w:tc>
        <w:tc>
          <w:tcPr>
            <w:tcW w:w="2971" w:type="dxa"/>
            <w:tcBorders>
              <w:top w:val="single" w:sz="4" w:space="0" w:color="auto"/>
              <w:left w:val="nil"/>
              <w:bottom w:val="single" w:sz="4" w:space="0" w:color="auto"/>
              <w:right w:val="single" w:sz="4" w:space="0" w:color="auto"/>
            </w:tcBorders>
            <w:vAlign w:val="center"/>
          </w:tcPr>
          <w:p w:rsidR="000D09F7" w:rsidRPr="000272E4" w:rsidRDefault="000D09F7" w:rsidP="002302B0">
            <w:pPr>
              <w:ind w:right="113"/>
            </w:pPr>
            <w:r w:rsidRPr="000272E4">
              <w:t>50</w:t>
            </w:r>
          </w:p>
        </w:tc>
      </w:tr>
      <w:tr w:rsidR="000D09F7" w:rsidRPr="00954376" w:rsidTr="00FD5A93">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D09F7" w:rsidRPr="000272E4" w:rsidRDefault="000D09F7" w:rsidP="002302B0">
            <w:r w:rsidRPr="000272E4">
              <w:t>Tuchoměřice</w:t>
            </w:r>
          </w:p>
        </w:tc>
        <w:tc>
          <w:tcPr>
            <w:tcW w:w="4358" w:type="dxa"/>
            <w:tcBorders>
              <w:top w:val="single" w:sz="4" w:space="0" w:color="auto"/>
              <w:left w:val="nil"/>
              <w:bottom w:val="single" w:sz="4" w:space="0" w:color="auto"/>
              <w:right w:val="single" w:sz="4" w:space="0" w:color="auto"/>
            </w:tcBorders>
            <w:vAlign w:val="center"/>
          </w:tcPr>
          <w:p w:rsidR="000D09F7" w:rsidRPr="000272E4" w:rsidRDefault="000D09F7" w:rsidP="002302B0">
            <w:r w:rsidRPr="000272E4">
              <w:t>Rozšíření kapacit MŠ+ kuchyně</w:t>
            </w:r>
          </w:p>
        </w:tc>
        <w:tc>
          <w:tcPr>
            <w:tcW w:w="2971" w:type="dxa"/>
            <w:tcBorders>
              <w:top w:val="single" w:sz="4" w:space="0" w:color="auto"/>
              <w:left w:val="nil"/>
              <w:bottom w:val="single" w:sz="4" w:space="0" w:color="auto"/>
              <w:right w:val="single" w:sz="4" w:space="0" w:color="auto"/>
            </w:tcBorders>
            <w:vAlign w:val="center"/>
          </w:tcPr>
          <w:p w:rsidR="000D09F7" w:rsidRPr="000272E4" w:rsidRDefault="000D09F7" w:rsidP="002302B0">
            <w:pPr>
              <w:ind w:right="113"/>
            </w:pPr>
            <w:r w:rsidRPr="000272E4">
              <w:t>250</w:t>
            </w:r>
          </w:p>
        </w:tc>
      </w:tr>
      <w:tr w:rsidR="000D09F7" w:rsidRPr="00954376" w:rsidTr="00FD5A93">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D09F7" w:rsidRPr="000272E4" w:rsidRDefault="000D09F7" w:rsidP="002302B0">
            <w:r w:rsidRPr="000272E4">
              <w:t>Chýně</w:t>
            </w:r>
          </w:p>
        </w:tc>
        <w:tc>
          <w:tcPr>
            <w:tcW w:w="4358" w:type="dxa"/>
            <w:tcBorders>
              <w:top w:val="single" w:sz="4" w:space="0" w:color="auto"/>
              <w:left w:val="nil"/>
              <w:bottom w:val="single" w:sz="4" w:space="0" w:color="auto"/>
              <w:right w:val="single" w:sz="4" w:space="0" w:color="auto"/>
            </w:tcBorders>
            <w:vAlign w:val="center"/>
          </w:tcPr>
          <w:p w:rsidR="000D09F7" w:rsidRPr="000272E4" w:rsidRDefault="000272E4" w:rsidP="002302B0">
            <w:r>
              <w:t>P</w:t>
            </w:r>
            <w:r w:rsidR="000D09F7" w:rsidRPr="000272E4">
              <w:t>řístavba</w:t>
            </w:r>
          </w:p>
        </w:tc>
        <w:tc>
          <w:tcPr>
            <w:tcW w:w="2971" w:type="dxa"/>
            <w:tcBorders>
              <w:top w:val="single" w:sz="4" w:space="0" w:color="auto"/>
              <w:left w:val="nil"/>
              <w:bottom w:val="single" w:sz="4" w:space="0" w:color="auto"/>
              <w:right w:val="single" w:sz="4" w:space="0" w:color="auto"/>
            </w:tcBorders>
            <w:vAlign w:val="center"/>
          </w:tcPr>
          <w:p w:rsidR="000D09F7" w:rsidRPr="000272E4" w:rsidRDefault="000D09F7" w:rsidP="002302B0">
            <w:pPr>
              <w:ind w:right="113"/>
            </w:pPr>
            <w:r w:rsidRPr="000272E4">
              <w:t>68,5</w:t>
            </w:r>
          </w:p>
        </w:tc>
      </w:tr>
      <w:tr w:rsidR="000D09F7" w:rsidRPr="00954376" w:rsidTr="00FD5A93">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vAlign w:val="center"/>
          </w:tcPr>
          <w:p w:rsidR="000D09F7" w:rsidRPr="000272E4" w:rsidRDefault="000D09F7" w:rsidP="002302B0">
            <w:r w:rsidRPr="000272E4">
              <w:t xml:space="preserve">Sunny Canadian </w:t>
            </w:r>
            <w:proofErr w:type="spellStart"/>
            <w:r w:rsidRPr="000272E4">
              <w:t>School</w:t>
            </w:r>
            <w:proofErr w:type="spellEnd"/>
          </w:p>
        </w:tc>
        <w:tc>
          <w:tcPr>
            <w:tcW w:w="4358" w:type="dxa"/>
            <w:tcBorders>
              <w:top w:val="single" w:sz="4" w:space="0" w:color="auto"/>
              <w:left w:val="nil"/>
              <w:bottom w:val="single" w:sz="4" w:space="0" w:color="auto"/>
              <w:right w:val="single" w:sz="4" w:space="0" w:color="auto"/>
            </w:tcBorders>
            <w:vAlign w:val="center"/>
          </w:tcPr>
          <w:p w:rsidR="000D09F7" w:rsidRPr="000272E4" w:rsidRDefault="000D09F7" w:rsidP="002302B0">
            <w:r w:rsidRPr="000272E4">
              <w:t>Nová budova MŠ</w:t>
            </w:r>
          </w:p>
        </w:tc>
        <w:tc>
          <w:tcPr>
            <w:tcW w:w="2971" w:type="dxa"/>
            <w:tcBorders>
              <w:top w:val="single" w:sz="4" w:space="0" w:color="auto"/>
              <w:left w:val="nil"/>
              <w:bottom w:val="single" w:sz="4" w:space="0" w:color="auto"/>
              <w:right w:val="single" w:sz="4" w:space="0" w:color="auto"/>
            </w:tcBorders>
            <w:vAlign w:val="center"/>
          </w:tcPr>
          <w:p w:rsidR="000D09F7" w:rsidRPr="000272E4" w:rsidRDefault="000D09F7" w:rsidP="002302B0">
            <w:pPr>
              <w:ind w:right="113"/>
            </w:pPr>
            <w:r w:rsidRPr="000272E4">
              <w:t>300</w:t>
            </w:r>
          </w:p>
        </w:tc>
      </w:tr>
    </w:tbl>
    <w:p w:rsidR="00775B0B" w:rsidRPr="000272E4" w:rsidRDefault="00775B0B" w:rsidP="000272E4">
      <w:pPr>
        <w:spacing w:before="120"/>
        <w:rPr>
          <w:i/>
          <w:sz w:val="20"/>
          <w:szCs w:val="20"/>
        </w:rPr>
      </w:pPr>
      <w:r w:rsidRPr="00FB00E5">
        <w:rPr>
          <w:i/>
          <w:sz w:val="20"/>
          <w:szCs w:val="20"/>
        </w:rPr>
        <w:t xml:space="preserve">Zdroj: </w:t>
      </w:r>
      <w:r>
        <w:rPr>
          <w:i/>
          <w:sz w:val="20"/>
          <w:szCs w:val="20"/>
        </w:rPr>
        <w:t>aktualizace investičních potřeb škol 9/2022</w:t>
      </w:r>
      <w:r w:rsidR="000272E4">
        <w:rPr>
          <w:i/>
          <w:sz w:val="20"/>
          <w:szCs w:val="20"/>
        </w:rPr>
        <w:t xml:space="preserve">; </w:t>
      </w:r>
      <w:r w:rsidRPr="000272E4">
        <w:rPr>
          <w:i/>
          <w:sz w:val="20"/>
          <w:szCs w:val="20"/>
        </w:rPr>
        <w:t>Výčet požadovaných investic v tabulce není kompletní. Zahrnuje jen finančně nejnáročnější investice. Přehled všech požadovaných investic z nového IROP je dokumentu SIP082022_IROP_21-27 na</w:t>
      </w:r>
      <w:r w:rsidRPr="002302B0">
        <w:t xml:space="preserve"> </w:t>
      </w:r>
      <w:hyperlink r:id="rId11" w:history="1">
        <w:r w:rsidRPr="002302B0">
          <w:rPr>
            <w:rStyle w:val="Hypertextovodkaz"/>
          </w:rPr>
          <w:t>stránkách projektu.</w:t>
        </w:r>
      </w:hyperlink>
    </w:p>
    <w:p w:rsidR="00775B0B" w:rsidRDefault="00775B0B" w:rsidP="002302B0">
      <w:r w:rsidRPr="002302B0">
        <w:t>Kapacity a nedostatečné lidské zdroje nejsou jedinými prioritami, na kterých se území shodlo.</w:t>
      </w:r>
    </w:p>
    <w:p w:rsidR="00775B0B" w:rsidRPr="002302B0" w:rsidRDefault="00775B0B" w:rsidP="002302B0">
      <w:pPr>
        <w:spacing w:before="20" w:after="20"/>
        <w:rPr>
          <w:b/>
        </w:rPr>
      </w:pPr>
      <w:r w:rsidRPr="002302B0">
        <w:rPr>
          <w:b/>
        </w:rPr>
        <w:t>Mezi další priority k řešení v následujících letech jsou</w:t>
      </w:r>
      <w:r w:rsidR="002302B0" w:rsidRPr="002302B0">
        <w:rPr>
          <w:b/>
        </w:rPr>
        <w:t>:</w:t>
      </w:r>
    </w:p>
    <w:p w:rsidR="00775B0B" w:rsidRPr="002302B0" w:rsidRDefault="00775B0B" w:rsidP="002302B0">
      <w:pPr>
        <w:pStyle w:val="Odstavecseseznamem"/>
        <w:numPr>
          <w:ilvl w:val="0"/>
          <w:numId w:val="1"/>
        </w:numPr>
        <w:spacing w:before="20" w:after="20"/>
        <w:rPr>
          <w:rFonts w:eastAsia="Arial" w:cs="Arial"/>
          <w:b/>
        </w:rPr>
      </w:pPr>
      <w:r w:rsidRPr="002302B0">
        <w:rPr>
          <w:rFonts w:eastAsia="Arial" w:cs="Arial"/>
          <w:b/>
        </w:rPr>
        <w:t xml:space="preserve">Usnadnění přechodu dětí a žáků v klíčových bodech vzdělávání (MŠ, ZŠ, SŠ) </w:t>
      </w:r>
    </w:p>
    <w:p w:rsidR="00775B0B" w:rsidRPr="002302B0" w:rsidRDefault="00775B0B" w:rsidP="002302B0">
      <w:pPr>
        <w:pStyle w:val="Odstavecseseznamem"/>
        <w:numPr>
          <w:ilvl w:val="0"/>
          <w:numId w:val="1"/>
        </w:numPr>
        <w:spacing w:before="20" w:after="20"/>
        <w:rPr>
          <w:rFonts w:eastAsia="Arial" w:cs="Arial"/>
          <w:b/>
        </w:rPr>
      </w:pPr>
      <w:r w:rsidRPr="002302B0">
        <w:rPr>
          <w:rFonts w:eastAsia="Arial" w:cs="Arial"/>
          <w:b/>
        </w:rPr>
        <w:t>Pestré a přitažlivé formy výchovy ke klíčovým kompetencím</w:t>
      </w:r>
    </w:p>
    <w:p w:rsidR="00775B0B" w:rsidRDefault="00775B0B" w:rsidP="002302B0">
      <w:pPr>
        <w:pStyle w:val="Odstavecseseznamem"/>
        <w:numPr>
          <w:ilvl w:val="0"/>
          <w:numId w:val="1"/>
        </w:numPr>
      </w:pPr>
      <w:r w:rsidRPr="002302B0">
        <w:rPr>
          <w:rFonts w:eastAsia="Arial" w:cs="Arial"/>
          <w:b/>
        </w:rPr>
        <w:t>Společné vzdělávání</w:t>
      </w:r>
    </w:p>
    <w:p w:rsidR="00775B0B" w:rsidRDefault="00491027" w:rsidP="00775B0B">
      <w:hyperlink r:id="rId12" w:history="1">
        <w:r w:rsidR="000D09F7" w:rsidRPr="000D09F7">
          <w:rPr>
            <w:rStyle w:val="Hypertextovodkaz"/>
          </w:rPr>
          <w:t>Schválený strategický rámec a akční plán</w:t>
        </w:r>
      </w:hyperlink>
      <w:r w:rsidR="000D09F7">
        <w:t xml:space="preserve"> </w:t>
      </w:r>
      <w:r w:rsidR="00984A83">
        <w:t>schválený řídícím výborem je podkladem pro další usilovnou práci všech aktérů v regionu směrem k  dosažení vytyčených cílů.</w:t>
      </w:r>
      <w:r w:rsidR="000D09F7">
        <w:t xml:space="preserve"> </w:t>
      </w:r>
    </w:p>
    <w:p w:rsidR="000272E4" w:rsidRDefault="000272E4">
      <w:pPr>
        <w:rPr>
          <w:b/>
        </w:rPr>
      </w:pPr>
      <w:r>
        <w:rPr>
          <w:b/>
        </w:rPr>
        <w:br w:type="page"/>
      </w:r>
    </w:p>
    <w:p w:rsidR="00775B0B" w:rsidRPr="00FD5A93" w:rsidRDefault="002302B0" w:rsidP="00775B0B">
      <w:pPr>
        <w:rPr>
          <w:b/>
        </w:rPr>
      </w:pPr>
      <w:r w:rsidRPr="00FD5A93">
        <w:rPr>
          <w:b/>
        </w:rPr>
        <w:lastRenderedPageBreak/>
        <w:t>Ukázky realizace některých projektů</w:t>
      </w:r>
      <w:r w:rsidR="003455A9" w:rsidRPr="00FD5A93">
        <w:rPr>
          <w:b/>
        </w:rPr>
        <w:t>, realizovaných obcemi v území ORP Černošice</w:t>
      </w:r>
      <w:r w:rsidRPr="00FD5A93">
        <w:rPr>
          <w:b/>
        </w:rPr>
        <w:t>:</w:t>
      </w:r>
    </w:p>
    <w:p w:rsidR="00775B0B" w:rsidRDefault="00775B0B" w:rsidP="00775B0B">
      <w:r>
        <w:rPr>
          <w:noProof/>
        </w:rPr>
        <w:drawing>
          <wp:inline distT="0" distB="0" distL="0" distR="0" wp14:anchorId="39D83C3F" wp14:editId="378C1FCB">
            <wp:extent cx="5760720" cy="3240405"/>
            <wp:effectExtent l="0" t="0" r="0" b="0"/>
            <wp:docPr id="14" name="Obrázek 14" descr="Identifikační údaje školy: ZŠ Zdiměř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fikační údaje školy: ZŠ Zdiměři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775B0B" w:rsidRDefault="00775B0B" w:rsidP="00775B0B">
      <w:r>
        <w:t>Z</w:t>
      </w:r>
      <w:r w:rsidR="003455A9">
        <w:t>Š</w:t>
      </w:r>
      <w:r>
        <w:t xml:space="preserve"> </w:t>
      </w:r>
      <w:proofErr w:type="spellStart"/>
      <w:r>
        <w:t>Zdiměřice</w:t>
      </w:r>
      <w:proofErr w:type="spellEnd"/>
      <w:r w:rsidR="000272E4">
        <w:t>, Jesenice</w:t>
      </w:r>
      <w:bookmarkStart w:id="1" w:name="_GoBack"/>
      <w:bookmarkEnd w:id="1"/>
    </w:p>
    <w:p w:rsidR="00775B0B" w:rsidRDefault="00775B0B" w:rsidP="00775B0B">
      <w:r>
        <w:rPr>
          <w:noProof/>
        </w:rPr>
        <w:lastRenderedPageBreak/>
        <w:drawing>
          <wp:inline distT="0" distB="0" distL="0" distR="0" wp14:anchorId="15AC7F99" wp14:editId="15A7C3B0">
            <wp:extent cx="5511800" cy="3100388"/>
            <wp:effectExtent l="0" t="0" r="0" b="5080"/>
            <wp:docPr id="15" name="Obrázek 15" descr="Video nemovitosti / Real estate video - ZŠ AMOS PSÁRY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nemovitosti / Real estate video - ZŠ AMOS PSÁRY - YouTu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8267" cy="3115276"/>
                    </a:xfrm>
                    <a:prstGeom prst="rect">
                      <a:avLst/>
                    </a:prstGeom>
                    <a:noFill/>
                    <a:ln>
                      <a:noFill/>
                    </a:ln>
                  </pic:spPr>
                </pic:pic>
              </a:graphicData>
            </a:graphic>
          </wp:inline>
        </w:drawing>
      </w:r>
    </w:p>
    <w:p w:rsidR="00775B0B" w:rsidRDefault="00775B0B" w:rsidP="00775B0B">
      <w:r>
        <w:t>Z</w:t>
      </w:r>
      <w:r w:rsidR="00984A83">
        <w:t>Š</w:t>
      </w:r>
      <w:r>
        <w:t xml:space="preserve"> Amos</w:t>
      </w:r>
      <w:r w:rsidR="00984A83">
        <w:t>,</w:t>
      </w:r>
      <w:r>
        <w:t xml:space="preserve"> Psáry</w:t>
      </w:r>
    </w:p>
    <w:p w:rsidR="00775B0B" w:rsidRDefault="00775B0B" w:rsidP="00775B0B">
      <w:r>
        <w:rPr>
          <w:noProof/>
        </w:rPr>
        <w:drawing>
          <wp:inline distT="0" distB="0" distL="0" distR="0" wp14:anchorId="600AE5C4" wp14:editId="1D1D7E33">
            <wp:extent cx="5181600" cy="3043734"/>
            <wp:effectExtent l="0" t="0" r="0" b="4445"/>
            <wp:docPr id="16" name="Obrázek 16" descr="Základní škola v Žalově - výstavba nové školy | CL-EV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ákladní škola v Žalově - výstavba nové školy | CL-EVA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09977" cy="3060403"/>
                    </a:xfrm>
                    <a:prstGeom prst="rect">
                      <a:avLst/>
                    </a:prstGeom>
                    <a:noFill/>
                    <a:ln>
                      <a:noFill/>
                    </a:ln>
                  </pic:spPr>
                </pic:pic>
              </a:graphicData>
            </a:graphic>
          </wp:inline>
        </w:drawing>
      </w:r>
    </w:p>
    <w:p w:rsidR="00775B0B" w:rsidRDefault="00775B0B" w:rsidP="00775B0B">
      <w:r>
        <w:t xml:space="preserve">ZŠ </w:t>
      </w:r>
      <w:r w:rsidR="002302B0">
        <w:t>Roztoky – rozšíření</w:t>
      </w:r>
      <w:r>
        <w:t xml:space="preserve"> kapacit, Žalov</w:t>
      </w:r>
    </w:p>
    <w:p w:rsidR="00775B0B" w:rsidRDefault="00775B0B" w:rsidP="00775B0B">
      <w:r>
        <w:rPr>
          <w:noProof/>
        </w:rPr>
        <w:lastRenderedPageBreak/>
        <w:drawing>
          <wp:inline distT="0" distB="0" distL="0" distR="0" wp14:anchorId="0F7F36E2" wp14:editId="1E69331A">
            <wp:extent cx="4857750" cy="2727424"/>
            <wp:effectExtent l="0" t="0" r="0" b="0"/>
            <wp:docPr id="17" name="Obrázek 17" descr="Fotogalerie - Ing. Věra Kovářová, poslankyně Parlamentu Č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galerie - Ing. Věra Kovářová, poslankyně Parlamentu Č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5088" cy="2737158"/>
                    </a:xfrm>
                    <a:prstGeom prst="rect">
                      <a:avLst/>
                    </a:prstGeom>
                    <a:noFill/>
                    <a:ln>
                      <a:noFill/>
                    </a:ln>
                  </pic:spPr>
                </pic:pic>
              </a:graphicData>
            </a:graphic>
          </wp:inline>
        </w:drawing>
      </w:r>
    </w:p>
    <w:p w:rsidR="00775B0B" w:rsidRDefault="00775B0B" w:rsidP="00775B0B">
      <w:r>
        <w:t>Rozšíření kapacity ZŠ Rudná u Prahy</w:t>
      </w:r>
    </w:p>
    <w:p w:rsidR="00775B0B" w:rsidRDefault="00775B0B" w:rsidP="00775B0B">
      <w:r>
        <w:rPr>
          <w:noProof/>
        </w:rPr>
        <w:drawing>
          <wp:inline distT="0" distB="0" distL="0" distR="0" wp14:anchorId="44DA2C5C" wp14:editId="00E49CF1">
            <wp:extent cx="4794250" cy="3196791"/>
            <wp:effectExtent l="0" t="0" r="6350" b="3810"/>
            <wp:docPr id="5" name="Obrázek 5" descr="Máme nové odborné učebny - Zprávy z Mníš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áme nové odborné učebny - Zprávy z Mníšku"/>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8066" cy="3206004"/>
                    </a:xfrm>
                    <a:prstGeom prst="rect">
                      <a:avLst/>
                    </a:prstGeom>
                    <a:noFill/>
                    <a:ln>
                      <a:noFill/>
                    </a:ln>
                  </pic:spPr>
                </pic:pic>
              </a:graphicData>
            </a:graphic>
          </wp:inline>
        </w:drawing>
      </w:r>
    </w:p>
    <w:p w:rsidR="00775B0B" w:rsidRDefault="00775B0B" w:rsidP="00775B0B">
      <w:r>
        <w:t>Odborná učebna Mníšek pod Brdy</w:t>
      </w:r>
    </w:p>
    <w:sectPr w:rsidR="00775B0B" w:rsidSect="002302B0">
      <w:type w:val="continuous"/>
      <w:pgSz w:w="11906" w:h="16838"/>
      <w:pgMar w:top="843" w:right="1417" w:bottom="1702"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027" w:rsidRDefault="00491027">
      <w:pPr>
        <w:spacing w:after="0" w:line="240" w:lineRule="auto"/>
      </w:pPr>
      <w:r>
        <w:separator/>
      </w:r>
    </w:p>
  </w:endnote>
  <w:endnote w:type="continuationSeparator" w:id="0">
    <w:p w:rsidR="00491027" w:rsidRDefault="00491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DE" w:rsidRDefault="00533ED5">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7216" behindDoc="0" locked="0" layoutInCell="1" hidden="0" allowOverlap="1">
          <wp:simplePos x="0" y="0"/>
          <wp:positionH relativeFrom="column">
            <wp:posOffset>414655</wp:posOffset>
          </wp:positionH>
          <wp:positionV relativeFrom="paragraph">
            <wp:posOffset>-6349</wp:posOffset>
          </wp:positionV>
          <wp:extent cx="4610100" cy="1028700"/>
          <wp:effectExtent l="0" t="0" r="0" b="0"/>
          <wp:wrapSquare wrapText="bothSides" distT="0" distB="0" distL="114300" distR="114300"/>
          <wp:docPr id="2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610100" cy="1028700"/>
                  </a:xfrm>
                  <a:prstGeom prst="rect">
                    <a:avLst/>
                  </a:prstGeom>
                  <a:ln/>
                </pic:spPr>
              </pic:pic>
            </a:graphicData>
          </a:graphic>
        </wp:anchor>
      </w:drawing>
    </w:r>
  </w:p>
  <w:p w:rsidR="00E136DE" w:rsidRDefault="00E136DE">
    <w:pPr>
      <w:pBdr>
        <w:top w:val="nil"/>
        <w:left w:val="nil"/>
        <w:bottom w:val="nil"/>
        <w:right w:val="nil"/>
        <w:between w:val="nil"/>
      </w:pBdr>
      <w:tabs>
        <w:tab w:val="center" w:pos="4536"/>
        <w:tab w:val="right" w:pos="9072"/>
      </w:tabs>
      <w:spacing w:after="0" w:line="240" w:lineRule="auto"/>
      <w:jc w:val="center"/>
      <w:rPr>
        <w:color w:val="000000"/>
      </w:rPr>
    </w:pPr>
  </w:p>
  <w:p w:rsidR="00E136DE" w:rsidRDefault="00E136D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027" w:rsidRDefault="00491027">
      <w:pPr>
        <w:spacing w:after="0" w:line="240" w:lineRule="auto"/>
      </w:pPr>
      <w:r>
        <w:separator/>
      </w:r>
    </w:p>
  </w:footnote>
  <w:footnote w:type="continuationSeparator" w:id="0">
    <w:p w:rsidR="00491027" w:rsidRDefault="00491027">
      <w:pPr>
        <w:spacing w:after="0" w:line="240" w:lineRule="auto"/>
      </w:pPr>
      <w:r>
        <w:continuationSeparator/>
      </w:r>
    </w:p>
  </w:footnote>
  <w:footnote w:id="1">
    <w:p w:rsidR="00775B0B" w:rsidRPr="00FD5A93" w:rsidRDefault="00775B0B" w:rsidP="00775B0B">
      <w:pPr>
        <w:jc w:val="both"/>
        <w:rPr>
          <w:i/>
        </w:rPr>
      </w:pPr>
      <w:r w:rsidRPr="00FD5A93">
        <w:rPr>
          <w:rStyle w:val="Znakapoznpodarou"/>
          <w:i/>
        </w:rPr>
        <w:footnoteRef/>
      </w:r>
      <w:r w:rsidRPr="00FD5A93">
        <w:rPr>
          <w:i/>
        </w:rPr>
        <w:t xml:space="preserve"> (pozn.: </w:t>
      </w:r>
      <w:r w:rsidR="000D09F7" w:rsidRPr="00FD5A93">
        <w:rPr>
          <w:i/>
        </w:rPr>
        <w:t xml:space="preserve">kapacity </w:t>
      </w:r>
      <w:r w:rsidRPr="00FD5A93">
        <w:rPr>
          <w:i/>
        </w:rPr>
        <w:t>MŠ se částečně dají řešit přes evropské fondy – IROP 2021-27)</w:t>
      </w:r>
    </w:p>
    <w:p w:rsidR="00775B0B" w:rsidRDefault="00775B0B">
      <w:pPr>
        <w:pStyle w:val="Textpoznpod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6DE" w:rsidRDefault="00533ED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extent cx="626400" cy="59760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6400" cy="597600"/>
                  </a:xfrm>
                  <a:prstGeom prst="rect">
                    <a:avLst/>
                  </a:prstGeom>
                  <a:ln/>
                </pic:spPr>
              </pic:pic>
            </a:graphicData>
          </a:graphic>
        </wp:inline>
      </w:drawing>
    </w:r>
    <w:r>
      <w:rPr>
        <w:color w:val="000000"/>
      </w:rPr>
      <w:t xml:space="preserve">                                                     </w:t>
    </w:r>
    <w:r>
      <w:rPr>
        <w:noProof/>
        <w:color w:val="000000"/>
      </w:rPr>
      <w:drawing>
        <wp:inline distT="0" distB="0" distL="0" distR="0">
          <wp:extent cx="626400" cy="626400"/>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26400" cy="626400"/>
                  </a:xfrm>
                  <a:prstGeom prst="rect">
                    <a:avLst/>
                  </a:prstGeom>
                  <a:ln/>
                </pic:spPr>
              </pic:pic>
            </a:graphicData>
          </a:graphic>
        </wp:inline>
      </w:drawing>
    </w:r>
    <w:r>
      <w:rPr>
        <w:color w:val="000000"/>
      </w:rPr>
      <w:t xml:space="preserve">                                                </w:t>
    </w:r>
    <w:r>
      <w:rPr>
        <w:noProof/>
        <w:color w:val="000000"/>
      </w:rPr>
      <w:drawing>
        <wp:inline distT="0" distB="0" distL="0" distR="0">
          <wp:extent cx="1058463" cy="385407"/>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058463" cy="385407"/>
                  </a:xfrm>
                  <a:prstGeom prst="rect">
                    <a:avLst/>
                  </a:prstGeom>
                  <a:ln/>
                </pic:spPr>
              </pic:pic>
            </a:graphicData>
          </a:graphic>
        </wp:inline>
      </w:drawing>
    </w:r>
  </w:p>
  <w:p w:rsidR="00E136DE" w:rsidRDefault="00E136DE">
    <w:pPr>
      <w:pBdr>
        <w:top w:val="nil"/>
        <w:left w:val="nil"/>
        <w:bottom w:val="nil"/>
        <w:right w:val="nil"/>
        <w:between w:val="nil"/>
      </w:pBdr>
      <w:tabs>
        <w:tab w:val="center" w:pos="4536"/>
        <w:tab w:val="right" w:pos="9072"/>
      </w:tabs>
      <w:spacing w:after="0" w:line="240" w:lineRule="auto"/>
      <w:rPr>
        <w:color w:val="000000"/>
      </w:rPr>
    </w:pPr>
  </w:p>
  <w:p w:rsidR="00E136DE" w:rsidRDefault="00533ED5" w:rsidP="002302B0">
    <w:pPr>
      <w:pBdr>
        <w:top w:val="nil"/>
        <w:left w:val="nil"/>
        <w:bottom w:val="nil"/>
        <w:right w:val="nil"/>
        <w:between w:val="nil"/>
      </w:pBdr>
      <w:tabs>
        <w:tab w:val="center" w:pos="4536"/>
        <w:tab w:val="right" w:pos="9072"/>
      </w:tabs>
      <w:spacing w:after="0" w:line="240" w:lineRule="auto"/>
      <w:jc w:val="center"/>
      <w:rPr>
        <w:b/>
        <w:color w:val="2E74B5"/>
        <w:sz w:val="20"/>
        <w:szCs w:val="20"/>
      </w:rPr>
    </w:pPr>
    <w:r w:rsidRPr="002302B0">
      <w:rPr>
        <w:b/>
        <w:color w:val="2E74B5"/>
        <w:sz w:val="36"/>
        <w:szCs w:val="20"/>
      </w:rPr>
      <w:t>Místní akční plán II pro vzdělávání na území ORP Černošice</w:t>
    </w:r>
    <w:r w:rsidR="002302B0">
      <w:rPr>
        <w:b/>
        <w:color w:val="2E74B5"/>
        <w:sz w:val="20"/>
        <w:szCs w:val="20"/>
      </w:rPr>
      <w:br/>
    </w:r>
    <w:r>
      <w:rPr>
        <w:b/>
        <w:color w:val="2E74B5"/>
        <w:sz w:val="20"/>
        <w:szCs w:val="20"/>
      </w:rPr>
      <w:t>č. CZ.02.3.68/0.0/0.0/17_047/0009044</w:t>
    </w:r>
  </w:p>
  <w:p w:rsidR="00E136DE" w:rsidRPr="002302B0" w:rsidRDefault="00E136DE">
    <w:pPr>
      <w:pBdr>
        <w:top w:val="nil"/>
        <w:left w:val="nil"/>
        <w:bottom w:val="nil"/>
        <w:right w:val="nil"/>
        <w:between w:val="nil"/>
      </w:pBdr>
      <w:tabs>
        <w:tab w:val="center" w:pos="4536"/>
        <w:tab w:val="right" w:pos="9072"/>
      </w:tabs>
      <w:spacing w:after="0" w:line="240" w:lineRule="auto"/>
      <w:jc w:val="center"/>
      <w:rPr>
        <w:b/>
        <w:color w:val="2E74B5"/>
        <w:sz w:val="18"/>
        <w:szCs w:val="18"/>
      </w:rPr>
    </w:pPr>
  </w:p>
  <w:p w:rsidR="00E136DE" w:rsidRDefault="00533ED5">
    <w:pPr>
      <w:jc w:val="center"/>
    </w:pPr>
    <w:r w:rsidRPr="002302B0">
      <w:rPr>
        <w:color w:val="70AD47"/>
        <w:sz w:val="18"/>
        <w:szCs w:val="18"/>
        <w:highlight w:val="white"/>
      </w:rPr>
      <w:t>Pražská 636, 252 41 Dolní Břežany</w:t>
    </w:r>
    <w:r w:rsidRPr="002302B0">
      <w:rPr>
        <w:color w:val="70AD47"/>
        <w:sz w:val="18"/>
        <w:szCs w:val="18"/>
      </w:rPr>
      <w:br/>
      <w:t>+420 603 402 742, www.map-orpcernosice.cz, oficiální e-mail: map@mas-dolnobrezansko.cz</w:t>
    </w:r>
    <w:r w:rsidR="00491027">
      <w:pict>
        <v:rect id="_x0000_i1025" style="width:453.6pt;height:1pt;mso-position-horizontal:absolute;mso-position-vertical:absolute" o:hralign="center" o:hrstd="t" o:hrnoshade="t" o:hr="t" fillcolor="#4f81bd [3204]" stroked="f"/>
      </w:pict>
    </w:r>
  </w:p>
  <w:p w:rsidR="00E136DE" w:rsidRDefault="00E136D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85A84"/>
    <w:multiLevelType w:val="hybridMultilevel"/>
    <w:tmpl w:val="79EE30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0F92240"/>
    <w:multiLevelType w:val="hybridMultilevel"/>
    <w:tmpl w:val="4768C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4494910"/>
    <w:multiLevelType w:val="hybridMultilevel"/>
    <w:tmpl w:val="3C90AE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DE"/>
    <w:rsid w:val="000272E4"/>
    <w:rsid w:val="000D09F7"/>
    <w:rsid w:val="002302B0"/>
    <w:rsid w:val="003455A9"/>
    <w:rsid w:val="00491027"/>
    <w:rsid w:val="00533ED5"/>
    <w:rsid w:val="006644E0"/>
    <w:rsid w:val="00775B0B"/>
    <w:rsid w:val="00984A83"/>
    <w:rsid w:val="00AB022D"/>
    <w:rsid w:val="00AE7057"/>
    <w:rsid w:val="00CA6244"/>
    <w:rsid w:val="00DF2C99"/>
    <w:rsid w:val="00E136DE"/>
    <w:rsid w:val="00ED4423"/>
    <w:rsid w:val="00FD5A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CC782"/>
  <w15:docId w15:val="{49AD2289-23D6-4692-B384-CC8AC5E3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775B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5B0B"/>
  </w:style>
  <w:style w:type="paragraph" w:styleId="Zpat">
    <w:name w:val="footer"/>
    <w:basedOn w:val="Normln"/>
    <w:link w:val="ZpatChar"/>
    <w:uiPriority w:val="99"/>
    <w:unhideWhenUsed/>
    <w:rsid w:val="00775B0B"/>
    <w:pPr>
      <w:tabs>
        <w:tab w:val="center" w:pos="4536"/>
        <w:tab w:val="right" w:pos="9072"/>
      </w:tabs>
      <w:spacing w:after="0" w:line="240" w:lineRule="auto"/>
    </w:pPr>
  </w:style>
  <w:style w:type="character" w:customStyle="1" w:styleId="ZpatChar">
    <w:name w:val="Zápatí Char"/>
    <w:basedOn w:val="Standardnpsmoodstavce"/>
    <w:link w:val="Zpat"/>
    <w:uiPriority w:val="99"/>
    <w:rsid w:val="00775B0B"/>
  </w:style>
  <w:style w:type="character" w:styleId="Hypertextovodkaz">
    <w:name w:val="Hyperlink"/>
    <w:uiPriority w:val="99"/>
    <w:rsid w:val="00775B0B"/>
    <w:rPr>
      <w:color w:val="0000FF"/>
      <w:u w:val="single"/>
    </w:rPr>
  </w:style>
  <w:style w:type="paragraph" w:styleId="Titulek">
    <w:name w:val="caption"/>
    <w:aliases w:val="Char Char,Titulek Char,Char Char Char,Caption Char3,Caption Char2 Char,Caption Char1 Char Char,Caption Char Char Char Char,Caption Char Char1 Char,Caption Char1 Char1,Caption Char Char Char1,Caption Char Char2"/>
    <w:basedOn w:val="Normln"/>
    <w:next w:val="Normln"/>
    <w:link w:val="TitulekChar1"/>
    <w:qFormat/>
    <w:rsid w:val="00775B0B"/>
    <w:pPr>
      <w:spacing w:after="120" w:line="240" w:lineRule="auto"/>
      <w:jc w:val="center"/>
    </w:pPr>
    <w:rPr>
      <w:rFonts w:ascii="Times New Roman" w:eastAsia="Times New Roman" w:hAnsi="Times New Roman" w:cs="Times New Roman"/>
      <w:b/>
      <w:bCs/>
      <w:sz w:val="24"/>
      <w:szCs w:val="20"/>
      <w:lang w:val="x-none" w:eastAsia="x-none"/>
    </w:rPr>
  </w:style>
  <w:style w:type="character" w:customStyle="1" w:styleId="TitulekChar1">
    <w:name w:val="Titulek Char1"/>
    <w:aliases w:val="Char Char Char1,Titulek Char Char,Char Char Char Char,Caption Char3 Char,Caption Char2 Char Char,Caption Char1 Char Char Char,Caption Char Char Char Char Char,Caption Char Char1 Char Char,Caption Char1 Char1 Char,Caption Char Char2 Char"/>
    <w:link w:val="Titulek"/>
    <w:locked/>
    <w:rsid w:val="00775B0B"/>
    <w:rPr>
      <w:rFonts w:ascii="Times New Roman" w:eastAsia="Times New Roman" w:hAnsi="Times New Roman" w:cs="Times New Roman"/>
      <w:b/>
      <w:bCs/>
      <w:sz w:val="24"/>
      <w:szCs w:val="20"/>
      <w:lang w:val="x-none" w:eastAsia="x-none"/>
    </w:rPr>
  </w:style>
  <w:style w:type="paragraph" w:styleId="Textpoznpodarou">
    <w:name w:val="footnote text"/>
    <w:basedOn w:val="Normln"/>
    <w:link w:val="TextpoznpodarouChar"/>
    <w:uiPriority w:val="99"/>
    <w:semiHidden/>
    <w:unhideWhenUsed/>
    <w:rsid w:val="00775B0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75B0B"/>
    <w:rPr>
      <w:sz w:val="20"/>
      <w:szCs w:val="20"/>
    </w:rPr>
  </w:style>
  <w:style w:type="character" w:styleId="Znakapoznpodarou">
    <w:name w:val="footnote reference"/>
    <w:basedOn w:val="Standardnpsmoodstavce"/>
    <w:uiPriority w:val="99"/>
    <w:semiHidden/>
    <w:unhideWhenUsed/>
    <w:rsid w:val="00775B0B"/>
    <w:rPr>
      <w:vertAlign w:val="superscript"/>
    </w:rPr>
  </w:style>
  <w:style w:type="paragraph" w:styleId="Odstavecseseznamem">
    <w:name w:val="List Paragraph"/>
    <w:basedOn w:val="Normln"/>
    <w:uiPriority w:val="34"/>
    <w:qFormat/>
    <w:rsid w:val="0023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orpcernosice.cz/wp-content/uploads/2022/09/MAP_OPR_C_schv%C3%A1levo-%C5%98V_22_9_2022_podeps%C3%A1no.pdf"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p-orpcernosice.cz/prehled-schvalenych-investic/"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s://www.map-orpcernosice.cz/projektove-dokumen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294A4-7504-47C9-B0CA-F63072CE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702</Words>
  <Characters>4148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Miloš Navrátil ZZMV</dc:creator>
  <cp:lastModifiedBy>Hana Barboříková</cp:lastModifiedBy>
  <cp:revision>2</cp:revision>
  <dcterms:created xsi:type="dcterms:W3CDTF">2022-09-30T11:16:00Z</dcterms:created>
  <dcterms:modified xsi:type="dcterms:W3CDTF">2022-09-30T11:16:00Z</dcterms:modified>
</cp:coreProperties>
</file>